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8B57AD" w14:textId="2304548F" w:rsidR="008C63F5" w:rsidRDefault="008C63F5" w:rsidP="00105528">
      <w:pPr>
        <w:spacing w:line="480" w:lineRule="auto"/>
        <w:jc w:val="center"/>
        <w:rPr>
          <w:rFonts w:ascii="Times New Roman" w:hAnsi="Times New Roman" w:cs="Times New Roman"/>
        </w:rPr>
      </w:pPr>
      <w:r w:rsidRPr="008C63F5">
        <w:rPr>
          <w:rFonts w:ascii="Times New Roman" w:hAnsi="Times New Roman" w:cs="Times New Roman"/>
        </w:rPr>
        <w:t>The Role of Gonadotropin Release Hormone and Treatment of Related Conditions</w:t>
      </w:r>
    </w:p>
    <w:p w14:paraId="753B602A" w14:textId="0CA4DC42" w:rsidR="008C63F5" w:rsidRDefault="008C63F5" w:rsidP="00105528">
      <w:pPr>
        <w:spacing w:line="480" w:lineRule="auto"/>
        <w:jc w:val="center"/>
        <w:rPr>
          <w:rFonts w:ascii="Times New Roman" w:hAnsi="Times New Roman" w:cs="Times New Roman"/>
        </w:rPr>
      </w:pPr>
      <w:r>
        <w:rPr>
          <w:rFonts w:ascii="Times New Roman" w:hAnsi="Times New Roman" w:cs="Times New Roman"/>
        </w:rPr>
        <w:t>By</w:t>
      </w:r>
    </w:p>
    <w:p w14:paraId="00361384" w14:textId="3605F34B" w:rsidR="008C63F5" w:rsidRPr="008C63F5" w:rsidRDefault="008C63F5" w:rsidP="00105528">
      <w:pPr>
        <w:spacing w:line="480" w:lineRule="auto"/>
        <w:jc w:val="center"/>
        <w:rPr>
          <w:rFonts w:ascii="Times New Roman" w:hAnsi="Times New Roman" w:cs="Times New Roman"/>
          <w:b/>
          <w:bCs/>
        </w:rPr>
      </w:pPr>
      <w:r w:rsidRPr="008C63F5">
        <w:rPr>
          <w:rFonts w:ascii="Times New Roman" w:hAnsi="Times New Roman" w:cs="Times New Roman"/>
          <w:b/>
          <w:bCs/>
        </w:rPr>
        <w:t>Mitchell Martin</w:t>
      </w:r>
    </w:p>
    <w:p w14:paraId="2147AF6F" w14:textId="77777777" w:rsidR="008C63F5" w:rsidRDefault="008C63F5" w:rsidP="00105528">
      <w:pPr>
        <w:spacing w:line="480" w:lineRule="auto"/>
        <w:jc w:val="center"/>
        <w:rPr>
          <w:rFonts w:ascii="Times New Roman" w:hAnsi="Times New Roman" w:cs="Times New Roman"/>
        </w:rPr>
      </w:pPr>
    </w:p>
    <w:p w14:paraId="3850F108" w14:textId="522E599F" w:rsidR="008C63F5" w:rsidRDefault="008C63F5" w:rsidP="00105528">
      <w:pPr>
        <w:spacing w:line="480" w:lineRule="auto"/>
        <w:jc w:val="center"/>
        <w:rPr>
          <w:rFonts w:ascii="Times New Roman" w:hAnsi="Times New Roman" w:cs="Times New Roman"/>
        </w:rPr>
      </w:pPr>
      <w:r>
        <w:rPr>
          <w:rFonts w:ascii="Times New Roman" w:hAnsi="Times New Roman" w:cs="Times New Roman"/>
        </w:rPr>
        <w:t xml:space="preserve">A creative component submitted to the graduate faculty. </w:t>
      </w:r>
    </w:p>
    <w:p w14:paraId="7250BF93" w14:textId="4903F814" w:rsidR="008C63F5" w:rsidRDefault="008C63F5" w:rsidP="00105528">
      <w:pPr>
        <w:spacing w:line="480" w:lineRule="auto"/>
        <w:jc w:val="center"/>
        <w:rPr>
          <w:rFonts w:ascii="Times New Roman" w:hAnsi="Times New Roman" w:cs="Times New Roman"/>
        </w:rPr>
      </w:pPr>
      <w:r>
        <w:rPr>
          <w:rFonts w:ascii="Times New Roman" w:hAnsi="Times New Roman" w:cs="Times New Roman"/>
        </w:rPr>
        <w:t xml:space="preserve">in partial fulfillment of the requirements for the degree of </w:t>
      </w:r>
    </w:p>
    <w:p w14:paraId="62C649F2" w14:textId="7A1B493C" w:rsidR="008C63F5" w:rsidRDefault="008C63F5" w:rsidP="00105528">
      <w:pPr>
        <w:spacing w:line="480" w:lineRule="auto"/>
        <w:jc w:val="center"/>
        <w:rPr>
          <w:rFonts w:ascii="Times New Roman" w:hAnsi="Times New Roman" w:cs="Times New Roman"/>
        </w:rPr>
      </w:pPr>
      <w:r>
        <w:rPr>
          <w:rFonts w:ascii="Times New Roman" w:hAnsi="Times New Roman" w:cs="Times New Roman"/>
        </w:rPr>
        <w:t>Master of Science</w:t>
      </w:r>
    </w:p>
    <w:p w14:paraId="2E3B0957" w14:textId="77777777" w:rsidR="008C63F5" w:rsidRDefault="008C63F5" w:rsidP="00105528">
      <w:pPr>
        <w:spacing w:line="480" w:lineRule="auto"/>
        <w:jc w:val="center"/>
        <w:rPr>
          <w:rFonts w:ascii="Times New Roman" w:hAnsi="Times New Roman" w:cs="Times New Roman"/>
        </w:rPr>
      </w:pPr>
    </w:p>
    <w:p w14:paraId="5FD84164" w14:textId="302D7BC0" w:rsidR="008C63F5" w:rsidRDefault="008C63F5" w:rsidP="00105528">
      <w:pPr>
        <w:spacing w:line="480" w:lineRule="auto"/>
        <w:jc w:val="center"/>
        <w:rPr>
          <w:rFonts w:ascii="Times New Roman" w:hAnsi="Times New Roman" w:cs="Times New Roman"/>
        </w:rPr>
      </w:pPr>
      <w:r>
        <w:rPr>
          <w:rFonts w:ascii="Times New Roman" w:hAnsi="Times New Roman" w:cs="Times New Roman"/>
        </w:rPr>
        <w:t>Major: Biomedical Science</w:t>
      </w:r>
    </w:p>
    <w:p w14:paraId="5058AB72" w14:textId="77777777" w:rsidR="008C63F5" w:rsidRDefault="008C63F5" w:rsidP="00105528">
      <w:pPr>
        <w:spacing w:line="480" w:lineRule="auto"/>
        <w:jc w:val="center"/>
        <w:rPr>
          <w:rFonts w:ascii="Times New Roman" w:hAnsi="Times New Roman" w:cs="Times New Roman"/>
        </w:rPr>
      </w:pPr>
    </w:p>
    <w:p w14:paraId="074225CE" w14:textId="77777777" w:rsidR="008C63F5" w:rsidRDefault="008C63F5" w:rsidP="00105528">
      <w:pPr>
        <w:spacing w:line="480" w:lineRule="auto"/>
        <w:jc w:val="center"/>
        <w:rPr>
          <w:rFonts w:ascii="Times New Roman" w:hAnsi="Times New Roman" w:cs="Times New Roman"/>
        </w:rPr>
      </w:pPr>
    </w:p>
    <w:p w14:paraId="1745C9CE" w14:textId="3010F9D2" w:rsidR="008C63F5" w:rsidRDefault="008C63F5" w:rsidP="00105528">
      <w:pPr>
        <w:spacing w:line="480" w:lineRule="auto"/>
        <w:jc w:val="center"/>
        <w:rPr>
          <w:rFonts w:ascii="Times New Roman" w:hAnsi="Times New Roman" w:cs="Times New Roman"/>
        </w:rPr>
      </w:pPr>
      <w:r>
        <w:rPr>
          <w:rFonts w:ascii="Times New Roman" w:hAnsi="Times New Roman" w:cs="Times New Roman"/>
        </w:rPr>
        <w:t>Program of Study Committee:</w:t>
      </w:r>
    </w:p>
    <w:p w14:paraId="1915DEF5" w14:textId="6EBC44F3" w:rsidR="008C63F5" w:rsidRPr="008C63F5" w:rsidRDefault="008C63F5" w:rsidP="00105528">
      <w:pPr>
        <w:spacing w:line="480" w:lineRule="auto"/>
        <w:jc w:val="center"/>
        <w:rPr>
          <w:rFonts w:ascii="Times New Roman" w:hAnsi="Times New Roman" w:cs="Times New Roman"/>
        </w:rPr>
      </w:pPr>
      <w:r>
        <w:rPr>
          <w:rFonts w:ascii="Times New Roman" w:hAnsi="Times New Roman" w:cs="Times New Roman"/>
        </w:rPr>
        <w:t xml:space="preserve">Dr. </w:t>
      </w:r>
      <w:proofErr w:type="spellStart"/>
      <w:r>
        <w:rPr>
          <w:rFonts w:ascii="Times New Roman" w:hAnsi="Times New Roman" w:cs="Times New Roman"/>
        </w:rPr>
        <w:t>Vlastislav</w:t>
      </w:r>
      <w:proofErr w:type="spellEnd"/>
      <w:r>
        <w:rPr>
          <w:rFonts w:ascii="Times New Roman" w:hAnsi="Times New Roman" w:cs="Times New Roman"/>
        </w:rPr>
        <w:t xml:space="preserve"> </w:t>
      </w:r>
      <w:proofErr w:type="spellStart"/>
      <w:r>
        <w:rPr>
          <w:rFonts w:ascii="Times New Roman" w:hAnsi="Times New Roman" w:cs="Times New Roman"/>
        </w:rPr>
        <w:t>Bracha</w:t>
      </w:r>
      <w:proofErr w:type="spellEnd"/>
      <w:r>
        <w:rPr>
          <w:rFonts w:ascii="Times New Roman" w:hAnsi="Times New Roman" w:cs="Times New Roman"/>
        </w:rPr>
        <w:t>, Major Professor</w:t>
      </w:r>
    </w:p>
    <w:p w14:paraId="756233B5" w14:textId="6FE9AB39" w:rsidR="008C63F5" w:rsidRDefault="008C63F5" w:rsidP="008C63F5">
      <w:pPr>
        <w:jc w:val="center"/>
        <w:rPr>
          <w:rFonts w:ascii="Times New Roman" w:hAnsi="Times New Roman" w:cs="Times New Roman"/>
        </w:rPr>
      </w:pPr>
    </w:p>
    <w:p w14:paraId="423A8BBD" w14:textId="77777777" w:rsidR="008C63F5" w:rsidRPr="008C63F5" w:rsidRDefault="008C63F5" w:rsidP="008C63F5">
      <w:pPr>
        <w:jc w:val="center"/>
        <w:rPr>
          <w:rFonts w:ascii="Times New Roman" w:hAnsi="Times New Roman" w:cs="Times New Roman"/>
        </w:rPr>
      </w:pPr>
    </w:p>
    <w:p w14:paraId="03D417EF" w14:textId="77777777" w:rsidR="008C63F5" w:rsidRPr="008C63F5" w:rsidRDefault="008C63F5" w:rsidP="008C63F5">
      <w:pPr>
        <w:jc w:val="center"/>
        <w:rPr>
          <w:rFonts w:ascii="Times New Roman" w:hAnsi="Times New Roman" w:cs="Times New Roman"/>
        </w:rPr>
      </w:pPr>
    </w:p>
    <w:p w14:paraId="3CA61374" w14:textId="77777777" w:rsidR="008C63F5" w:rsidRDefault="008C63F5" w:rsidP="008C63F5">
      <w:pPr>
        <w:jc w:val="center"/>
        <w:rPr>
          <w:rFonts w:ascii="Times New Roman" w:eastAsia="Times New Roman" w:hAnsi="Times New Roman" w:cs="Times New Roman"/>
        </w:rPr>
      </w:pPr>
      <w:r w:rsidRPr="008C63F5">
        <w:rPr>
          <w:rFonts w:ascii="Times New Roman" w:eastAsia="Times New Roman" w:hAnsi="Times New Roman" w:cs="Times New Roman"/>
        </w:rPr>
        <w:t>The student author, whose presentation of the scholarship herein was approved by the program</w:t>
      </w:r>
      <w:r w:rsidRPr="008C63F5">
        <w:rPr>
          <w:rFonts w:ascii="Times New Roman" w:eastAsia="Times New Roman" w:hAnsi="Times New Roman" w:cs="Times New Roman"/>
        </w:rPr>
        <w:br/>
        <w:t>of study committee, is solely responsible for the content of this creative component. The</w:t>
      </w:r>
      <w:r w:rsidRPr="008C63F5">
        <w:rPr>
          <w:rFonts w:ascii="Times New Roman" w:eastAsia="Times New Roman" w:hAnsi="Times New Roman" w:cs="Times New Roman"/>
        </w:rPr>
        <w:br/>
        <w:t>Graduate College will ensure this creative component is globally accessible and will not permit</w:t>
      </w:r>
      <w:r w:rsidRPr="008C63F5">
        <w:rPr>
          <w:rFonts w:ascii="Times New Roman" w:eastAsia="Times New Roman" w:hAnsi="Times New Roman" w:cs="Times New Roman"/>
        </w:rPr>
        <w:br/>
        <w:t xml:space="preserve">alterations after a degree </w:t>
      </w:r>
      <w:proofErr w:type="gramStart"/>
      <w:r w:rsidRPr="008C63F5">
        <w:rPr>
          <w:rFonts w:ascii="Times New Roman" w:eastAsia="Times New Roman" w:hAnsi="Times New Roman" w:cs="Times New Roman"/>
        </w:rPr>
        <w:t>is</w:t>
      </w:r>
      <w:proofErr w:type="gramEnd"/>
      <w:r w:rsidRPr="008C63F5">
        <w:rPr>
          <w:rFonts w:ascii="Times New Roman" w:eastAsia="Times New Roman" w:hAnsi="Times New Roman" w:cs="Times New Roman"/>
        </w:rPr>
        <w:t xml:space="preserve"> conferred.</w:t>
      </w:r>
      <w:r w:rsidRPr="008C63F5">
        <w:rPr>
          <w:rFonts w:ascii="Lato" w:eastAsia="Times New Roman" w:hAnsi="Lato" w:cs="Times New Roman"/>
          <w:sz w:val="20"/>
          <w:szCs w:val="20"/>
        </w:rPr>
        <w:br/>
      </w:r>
    </w:p>
    <w:p w14:paraId="73740D07" w14:textId="77777777" w:rsidR="008C63F5" w:rsidRDefault="008C63F5" w:rsidP="008C63F5">
      <w:pPr>
        <w:jc w:val="center"/>
        <w:rPr>
          <w:rFonts w:ascii="Times New Roman" w:eastAsia="Times New Roman" w:hAnsi="Times New Roman" w:cs="Times New Roman"/>
        </w:rPr>
      </w:pPr>
    </w:p>
    <w:p w14:paraId="0CE834F2" w14:textId="17B7E449" w:rsidR="008C63F5" w:rsidRDefault="008C63F5" w:rsidP="008C63F5">
      <w:pPr>
        <w:jc w:val="center"/>
        <w:rPr>
          <w:rFonts w:ascii="Times New Roman" w:eastAsia="Times New Roman" w:hAnsi="Times New Roman" w:cs="Times New Roman"/>
        </w:rPr>
      </w:pPr>
      <w:r>
        <w:rPr>
          <w:rFonts w:ascii="Times New Roman" w:eastAsia="Times New Roman" w:hAnsi="Times New Roman" w:cs="Times New Roman"/>
        </w:rPr>
        <w:t>Iowa State University</w:t>
      </w:r>
    </w:p>
    <w:p w14:paraId="7585CE3A" w14:textId="77777777" w:rsidR="008C63F5" w:rsidRDefault="008C63F5" w:rsidP="008C63F5">
      <w:pPr>
        <w:jc w:val="center"/>
        <w:rPr>
          <w:rFonts w:ascii="Times New Roman" w:eastAsia="Times New Roman" w:hAnsi="Times New Roman" w:cs="Times New Roman"/>
        </w:rPr>
      </w:pPr>
    </w:p>
    <w:p w14:paraId="6863DCA1" w14:textId="16637A3E" w:rsidR="008C63F5" w:rsidRDefault="008C63F5" w:rsidP="008C63F5">
      <w:pPr>
        <w:jc w:val="center"/>
        <w:rPr>
          <w:rFonts w:ascii="Times New Roman" w:eastAsia="Times New Roman" w:hAnsi="Times New Roman" w:cs="Times New Roman"/>
        </w:rPr>
      </w:pPr>
      <w:r>
        <w:rPr>
          <w:rFonts w:ascii="Times New Roman" w:eastAsia="Times New Roman" w:hAnsi="Times New Roman" w:cs="Times New Roman"/>
        </w:rPr>
        <w:t>Ames, Iowa</w:t>
      </w:r>
    </w:p>
    <w:p w14:paraId="3FB47B24" w14:textId="77777777" w:rsidR="008C63F5" w:rsidRDefault="008C63F5" w:rsidP="008C63F5">
      <w:pPr>
        <w:jc w:val="center"/>
        <w:rPr>
          <w:rFonts w:ascii="Times New Roman" w:eastAsia="Times New Roman" w:hAnsi="Times New Roman" w:cs="Times New Roman"/>
        </w:rPr>
      </w:pPr>
    </w:p>
    <w:p w14:paraId="2E5E7F6C" w14:textId="6568046E" w:rsidR="008C63F5" w:rsidRDefault="008C63F5" w:rsidP="008C63F5">
      <w:pPr>
        <w:jc w:val="center"/>
        <w:rPr>
          <w:rFonts w:ascii="Times New Roman" w:eastAsia="Times New Roman" w:hAnsi="Times New Roman" w:cs="Times New Roman"/>
        </w:rPr>
      </w:pPr>
      <w:r>
        <w:rPr>
          <w:rFonts w:ascii="Times New Roman" w:eastAsia="Times New Roman" w:hAnsi="Times New Roman" w:cs="Times New Roman"/>
        </w:rPr>
        <w:t>2023</w:t>
      </w:r>
    </w:p>
    <w:p w14:paraId="377D7336" w14:textId="77777777" w:rsidR="008C63F5" w:rsidRDefault="008C63F5" w:rsidP="008C63F5">
      <w:pPr>
        <w:jc w:val="center"/>
        <w:rPr>
          <w:rFonts w:ascii="Times New Roman" w:eastAsia="Times New Roman" w:hAnsi="Times New Roman" w:cs="Times New Roman"/>
        </w:rPr>
      </w:pPr>
    </w:p>
    <w:p w14:paraId="08AA0068" w14:textId="02E93E34" w:rsidR="008C63F5" w:rsidRPr="008C63F5" w:rsidRDefault="008C63F5" w:rsidP="008C63F5">
      <w:pPr>
        <w:jc w:val="center"/>
        <w:rPr>
          <w:rFonts w:ascii="Times New Roman" w:eastAsia="Times New Roman" w:hAnsi="Times New Roman" w:cs="Times New Roman"/>
        </w:rPr>
      </w:pPr>
      <w:r>
        <w:rPr>
          <w:rFonts w:ascii="Times New Roman" w:eastAsia="Times New Roman" w:hAnsi="Times New Roman" w:cs="Times New Roman"/>
        </w:rPr>
        <w:t xml:space="preserve">Copyright © Mitchell Martin, 2023, all rights </w:t>
      </w:r>
      <w:proofErr w:type="gramStart"/>
      <w:r>
        <w:rPr>
          <w:rFonts w:ascii="Times New Roman" w:eastAsia="Times New Roman" w:hAnsi="Times New Roman" w:cs="Times New Roman"/>
        </w:rPr>
        <w:t>reserved</w:t>
      </w:r>
      <w:proofErr w:type="gramEnd"/>
    </w:p>
    <w:p w14:paraId="5306871B" w14:textId="3C79E8A1" w:rsidR="008C63F5" w:rsidRPr="008C63F5" w:rsidRDefault="008C63F5" w:rsidP="008C63F5">
      <w:pPr>
        <w:rPr>
          <w:rFonts w:ascii="Times New Roman" w:hAnsi="Times New Roman" w:cs="Times New Roman"/>
        </w:rPr>
      </w:pPr>
      <w:r w:rsidRPr="008C63F5">
        <w:rPr>
          <w:rFonts w:ascii="Times New Roman" w:hAnsi="Times New Roman" w:cs="Times New Roman"/>
        </w:rPr>
        <w:br w:type="page"/>
      </w:r>
    </w:p>
    <w:p w14:paraId="0F70F4C9" w14:textId="71AF83DA" w:rsidR="00B819E1" w:rsidRPr="00B819E1" w:rsidRDefault="00B819E1" w:rsidP="00105528">
      <w:pPr>
        <w:spacing w:line="480" w:lineRule="auto"/>
        <w:jc w:val="center"/>
        <w:rPr>
          <w:rFonts w:ascii="Times New Roman" w:hAnsi="Times New Roman" w:cs="Times New Roman"/>
          <w:b/>
          <w:bCs/>
        </w:rPr>
      </w:pPr>
      <w:r>
        <w:rPr>
          <w:rFonts w:ascii="Times New Roman" w:hAnsi="Times New Roman" w:cs="Times New Roman"/>
          <w:b/>
          <w:bCs/>
        </w:rPr>
        <w:lastRenderedPageBreak/>
        <w:t xml:space="preserve">The Role </w:t>
      </w:r>
      <w:r w:rsidR="00A55CCE">
        <w:rPr>
          <w:rFonts w:ascii="Times New Roman" w:hAnsi="Times New Roman" w:cs="Times New Roman"/>
          <w:b/>
          <w:bCs/>
        </w:rPr>
        <w:t xml:space="preserve">of Gonadotropin Release Hormone and Treatment of Related Conditions </w:t>
      </w:r>
    </w:p>
    <w:p w14:paraId="31208229" w14:textId="77777777" w:rsidR="002B67E7" w:rsidRPr="00F23B12" w:rsidRDefault="002B67E7" w:rsidP="002B67E7">
      <w:pPr>
        <w:spacing w:line="480" w:lineRule="auto"/>
        <w:jc w:val="center"/>
        <w:rPr>
          <w:rFonts w:ascii="Times New Roman" w:hAnsi="Times New Roman" w:cs="Times New Roman"/>
        </w:rPr>
      </w:pPr>
      <w:r w:rsidRPr="00F23B12">
        <w:rPr>
          <w:rFonts w:ascii="Times New Roman" w:hAnsi="Times New Roman" w:cs="Times New Roman"/>
        </w:rPr>
        <w:t xml:space="preserve">Mitchell J. Martin </w:t>
      </w:r>
    </w:p>
    <w:p w14:paraId="472E3ECD" w14:textId="77777777" w:rsidR="002B67E7" w:rsidRPr="00F23B12" w:rsidRDefault="002B67E7" w:rsidP="002B67E7">
      <w:pPr>
        <w:spacing w:line="480" w:lineRule="auto"/>
        <w:jc w:val="center"/>
        <w:rPr>
          <w:rFonts w:ascii="Times New Roman" w:hAnsi="Times New Roman" w:cs="Times New Roman"/>
        </w:rPr>
      </w:pPr>
      <w:r w:rsidRPr="00F23B12">
        <w:rPr>
          <w:rFonts w:ascii="Times New Roman" w:hAnsi="Times New Roman" w:cs="Times New Roman"/>
        </w:rPr>
        <w:t>Iowa State University</w:t>
      </w:r>
    </w:p>
    <w:p w14:paraId="3D8D65A1" w14:textId="1C439E07" w:rsidR="002B67E7" w:rsidRPr="00F23B12" w:rsidRDefault="002B67E7" w:rsidP="002B67E7">
      <w:pPr>
        <w:spacing w:line="480" w:lineRule="auto"/>
        <w:jc w:val="center"/>
        <w:rPr>
          <w:rFonts w:ascii="Times New Roman" w:hAnsi="Times New Roman" w:cs="Times New Roman"/>
        </w:rPr>
      </w:pPr>
      <w:r w:rsidRPr="00F23B12">
        <w:rPr>
          <w:rFonts w:ascii="Times New Roman" w:hAnsi="Times New Roman" w:cs="Times New Roman"/>
        </w:rPr>
        <w:t xml:space="preserve">Dr. </w:t>
      </w:r>
      <w:proofErr w:type="spellStart"/>
      <w:r>
        <w:rPr>
          <w:rFonts w:ascii="Times New Roman" w:hAnsi="Times New Roman" w:cs="Times New Roman"/>
        </w:rPr>
        <w:t>Vla</w:t>
      </w:r>
      <w:r w:rsidR="0037267B">
        <w:rPr>
          <w:rFonts w:ascii="Times New Roman" w:hAnsi="Times New Roman" w:cs="Times New Roman"/>
        </w:rPr>
        <w:t>st</w:t>
      </w:r>
      <w:r>
        <w:rPr>
          <w:rFonts w:ascii="Times New Roman" w:hAnsi="Times New Roman" w:cs="Times New Roman"/>
        </w:rPr>
        <w:t>islav</w:t>
      </w:r>
      <w:proofErr w:type="spellEnd"/>
      <w:r>
        <w:rPr>
          <w:rFonts w:ascii="Times New Roman" w:hAnsi="Times New Roman" w:cs="Times New Roman"/>
        </w:rPr>
        <w:t xml:space="preserve"> </w:t>
      </w:r>
      <w:proofErr w:type="spellStart"/>
      <w:r>
        <w:rPr>
          <w:rFonts w:ascii="Times New Roman" w:hAnsi="Times New Roman" w:cs="Times New Roman"/>
        </w:rPr>
        <w:t>Bracha</w:t>
      </w:r>
      <w:proofErr w:type="spellEnd"/>
      <w:r w:rsidRPr="00F23B12">
        <w:rPr>
          <w:rFonts w:ascii="Times New Roman" w:hAnsi="Times New Roman" w:cs="Times New Roman"/>
        </w:rPr>
        <w:t xml:space="preserve"> </w:t>
      </w:r>
    </w:p>
    <w:p w14:paraId="748097B1" w14:textId="42D55D9E" w:rsidR="002B67E7" w:rsidRPr="00F23B12" w:rsidRDefault="002B67E7" w:rsidP="002B67E7">
      <w:pPr>
        <w:spacing w:line="480" w:lineRule="auto"/>
        <w:jc w:val="center"/>
        <w:rPr>
          <w:rFonts w:ascii="Times New Roman" w:hAnsi="Times New Roman" w:cs="Times New Roman"/>
        </w:rPr>
      </w:pPr>
      <w:r>
        <w:rPr>
          <w:rFonts w:ascii="Times New Roman" w:hAnsi="Times New Roman" w:cs="Times New Roman"/>
        </w:rPr>
        <w:t>April</w:t>
      </w:r>
      <w:r w:rsidRPr="00F23B12">
        <w:rPr>
          <w:rFonts w:ascii="Times New Roman" w:hAnsi="Times New Roman" w:cs="Times New Roman"/>
        </w:rPr>
        <w:t xml:space="preserve"> </w:t>
      </w:r>
      <w:r w:rsidR="00B819E1">
        <w:rPr>
          <w:rFonts w:ascii="Times New Roman" w:hAnsi="Times New Roman" w:cs="Times New Roman"/>
        </w:rPr>
        <w:t>20</w:t>
      </w:r>
      <w:r w:rsidRPr="00F23B12">
        <w:rPr>
          <w:rFonts w:ascii="Times New Roman" w:hAnsi="Times New Roman" w:cs="Times New Roman"/>
        </w:rPr>
        <w:t>, 2023</w:t>
      </w:r>
    </w:p>
    <w:p w14:paraId="04486913" w14:textId="77777777" w:rsidR="002B67E7" w:rsidRDefault="002B67E7" w:rsidP="002B67E7">
      <w:pPr>
        <w:spacing w:line="480" w:lineRule="auto"/>
        <w:jc w:val="center"/>
        <w:rPr>
          <w:rFonts w:ascii="Times" w:hAnsi="Times"/>
        </w:rPr>
      </w:pPr>
    </w:p>
    <w:p w14:paraId="6C912510" w14:textId="77777777" w:rsidR="00B819E1" w:rsidRDefault="00B819E1">
      <w:pPr>
        <w:rPr>
          <w:rFonts w:ascii="Times" w:hAnsi="Times"/>
          <w:b/>
          <w:bCs/>
        </w:rPr>
      </w:pPr>
    </w:p>
    <w:p w14:paraId="747C9FA8" w14:textId="77777777" w:rsidR="009842C7" w:rsidRDefault="009842C7">
      <w:pPr>
        <w:rPr>
          <w:rFonts w:ascii="Times" w:hAnsi="Times"/>
          <w:b/>
          <w:bCs/>
        </w:rPr>
      </w:pPr>
    </w:p>
    <w:p w14:paraId="399D8B60" w14:textId="77777777" w:rsidR="00B819E1" w:rsidRDefault="00B819E1">
      <w:pPr>
        <w:rPr>
          <w:rFonts w:ascii="Times" w:hAnsi="Times"/>
          <w:b/>
          <w:bCs/>
        </w:rPr>
      </w:pPr>
    </w:p>
    <w:p w14:paraId="3D357075" w14:textId="77777777" w:rsidR="00B819E1" w:rsidRDefault="00B819E1">
      <w:pPr>
        <w:rPr>
          <w:rFonts w:ascii="Times" w:hAnsi="Times"/>
          <w:b/>
          <w:bCs/>
        </w:rPr>
      </w:pPr>
    </w:p>
    <w:p w14:paraId="07D2C4D4" w14:textId="77777777" w:rsidR="00B819E1" w:rsidRDefault="00B819E1" w:rsidP="00B819E1">
      <w:pPr>
        <w:spacing w:line="480" w:lineRule="auto"/>
        <w:rPr>
          <w:rFonts w:ascii="Times" w:hAnsi="Times"/>
        </w:rPr>
      </w:pPr>
      <w:r>
        <w:rPr>
          <w:rFonts w:ascii="Times" w:hAnsi="Times"/>
          <w:b/>
          <w:bCs/>
        </w:rPr>
        <w:t xml:space="preserve">Abstract: </w:t>
      </w:r>
    </w:p>
    <w:p w14:paraId="0FBE8A72" w14:textId="34D4A5E4" w:rsidR="00A2013F" w:rsidRDefault="00B819E1" w:rsidP="00A2013F">
      <w:pPr>
        <w:spacing w:line="480" w:lineRule="auto"/>
        <w:rPr>
          <w:rFonts w:ascii="Times" w:hAnsi="Times"/>
          <w:b/>
          <w:bCs/>
        </w:rPr>
        <w:sectPr w:rsidR="00A2013F" w:rsidSect="00A2013F">
          <w:headerReference w:type="even" r:id="rId7"/>
          <w:headerReference w:type="default" r:id="rId8"/>
          <w:headerReference w:type="first" r:id="rId9"/>
          <w:pgSz w:w="12240" w:h="15840"/>
          <w:pgMar w:top="1440" w:right="1440" w:bottom="1440" w:left="1440" w:header="720" w:footer="720" w:gutter="0"/>
          <w:pgNumType w:start="1"/>
          <w:cols w:space="720"/>
          <w:titlePg/>
          <w:docGrid w:linePitch="360"/>
        </w:sectPr>
      </w:pPr>
      <w:r>
        <w:rPr>
          <w:rFonts w:ascii="Times" w:hAnsi="Times"/>
          <w:b/>
          <w:bCs/>
        </w:rPr>
        <w:tab/>
      </w:r>
      <w:r w:rsidR="009842C7">
        <w:rPr>
          <w:rFonts w:ascii="Times" w:hAnsi="Times"/>
        </w:rPr>
        <w:t>There are numerous pathologies and abnormalities</w:t>
      </w:r>
      <w:r w:rsidR="0061707D">
        <w:rPr>
          <w:rFonts w:ascii="Times" w:hAnsi="Times"/>
        </w:rPr>
        <w:t xml:space="preserve"> that</w:t>
      </w:r>
      <w:r>
        <w:rPr>
          <w:rFonts w:ascii="Times" w:hAnsi="Times"/>
        </w:rPr>
        <w:t xml:space="preserve"> relate to the</w:t>
      </w:r>
      <w:r w:rsidR="009842C7">
        <w:rPr>
          <w:rFonts w:ascii="Times" w:hAnsi="Times"/>
        </w:rPr>
        <w:t xml:space="preserve"> function of</w:t>
      </w:r>
      <w:r>
        <w:rPr>
          <w:rFonts w:ascii="Times" w:hAnsi="Times"/>
        </w:rPr>
        <w:t xml:space="preserve"> </w:t>
      </w:r>
      <w:r w:rsidR="004D6765">
        <w:rPr>
          <w:rFonts w:ascii="Times" w:hAnsi="Times"/>
        </w:rPr>
        <w:t xml:space="preserve">the </w:t>
      </w:r>
      <w:r>
        <w:rPr>
          <w:rFonts w:ascii="Times" w:hAnsi="Times"/>
        </w:rPr>
        <w:t>hypothalamo-pituitary-gonadal axis</w:t>
      </w:r>
      <w:r w:rsidR="009842C7">
        <w:rPr>
          <w:rFonts w:ascii="Times" w:hAnsi="Times"/>
        </w:rPr>
        <w:t xml:space="preserve">. Some of these </w:t>
      </w:r>
      <w:r w:rsidR="0061707D">
        <w:rPr>
          <w:rFonts w:ascii="Times" w:hAnsi="Times"/>
        </w:rPr>
        <w:t>conditions c</w:t>
      </w:r>
      <w:r>
        <w:rPr>
          <w:rFonts w:ascii="Times" w:hAnsi="Times"/>
        </w:rPr>
        <w:t xml:space="preserve">an be </w:t>
      </w:r>
      <w:r w:rsidR="009842C7">
        <w:rPr>
          <w:rFonts w:ascii="Times" w:hAnsi="Times"/>
        </w:rPr>
        <w:t>treated</w:t>
      </w:r>
      <w:r>
        <w:rPr>
          <w:rFonts w:ascii="Times" w:hAnsi="Times"/>
        </w:rPr>
        <w:t xml:space="preserve"> </w:t>
      </w:r>
      <w:r w:rsidR="004D6765">
        <w:rPr>
          <w:rFonts w:ascii="Times" w:hAnsi="Times"/>
        </w:rPr>
        <w:t xml:space="preserve">by </w:t>
      </w:r>
      <w:r>
        <w:rPr>
          <w:rFonts w:ascii="Times" w:hAnsi="Times"/>
        </w:rPr>
        <w:t xml:space="preserve">modulation of </w:t>
      </w:r>
      <w:r w:rsidR="004D6765">
        <w:rPr>
          <w:rFonts w:ascii="Times" w:hAnsi="Times"/>
        </w:rPr>
        <w:t xml:space="preserve">the </w:t>
      </w:r>
      <w:r>
        <w:rPr>
          <w:rFonts w:ascii="Times" w:hAnsi="Times"/>
        </w:rPr>
        <w:t>gonadotrophin-release hormone (GnRH)</w:t>
      </w:r>
      <w:r w:rsidR="004D6765">
        <w:rPr>
          <w:rFonts w:ascii="Times" w:hAnsi="Times"/>
        </w:rPr>
        <w:t xml:space="preserve"> activity</w:t>
      </w:r>
      <w:r>
        <w:rPr>
          <w:rFonts w:ascii="Times" w:hAnsi="Times"/>
        </w:rPr>
        <w:t>. This hormone is released by specialized neurons within the hypothalamus, and it acts on gonadotroph cells within the anterior pituitary. This hormone binds g</w:t>
      </w:r>
      <w:r w:rsidR="009842C7">
        <w:rPr>
          <w:rFonts w:ascii="Times" w:hAnsi="Times"/>
        </w:rPr>
        <w:t>-protein</w:t>
      </w:r>
      <w:r>
        <w:rPr>
          <w:rFonts w:ascii="Times" w:hAnsi="Times"/>
        </w:rPr>
        <w:t>-coupled protein receptors on the surface of the cell membrane</w:t>
      </w:r>
      <w:r w:rsidR="004D6765">
        <w:rPr>
          <w:rFonts w:ascii="Times" w:hAnsi="Times"/>
        </w:rPr>
        <w:t>,</w:t>
      </w:r>
      <w:r>
        <w:rPr>
          <w:rFonts w:ascii="Times" w:hAnsi="Times"/>
        </w:rPr>
        <w:t xml:space="preserve"> and activation results in the secretion of </w:t>
      </w:r>
      <w:r w:rsidR="009842C7">
        <w:rPr>
          <w:rFonts w:ascii="Times" w:hAnsi="Times"/>
        </w:rPr>
        <w:t>Follicle Stimulating Hormone (</w:t>
      </w:r>
      <w:r>
        <w:rPr>
          <w:rFonts w:ascii="Times" w:hAnsi="Times"/>
        </w:rPr>
        <w:t>FSH</w:t>
      </w:r>
      <w:r w:rsidR="009842C7">
        <w:rPr>
          <w:rFonts w:ascii="Times" w:hAnsi="Times"/>
        </w:rPr>
        <w:t>)</w:t>
      </w:r>
      <w:r>
        <w:rPr>
          <w:rFonts w:ascii="Times" w:hAnsi="Times"/>
        </w:rPr>
        <w:t xml:space="preserve"> and </w:t>
      </w:r>
      <w:r w:rsidR="009842C7">
        <w:rPr>
          <w:rFonts w:ascii="Times" w:hAnsi="Times"/>
        </w:rPr>
        <w:t>Luteinizing Hormone (</w:t>
      </w:r>
      <w:r>
        <w:rPr>
          <w:rFonts w:ascii="Times" w:hAnsi="Times"/>
        </w:rPr>
        <w:t>LH</w:t>
      </w:r>
      <w:r w:rsidR="009842C7">
        <w:rPr>
          <w:rFonts w:ascii="Times" w:hAnsi="Times"/>
        </w:rPr>
        <w:t>)</w:t>
      </w:r>
      <w:r>
        <w:rPr>
          <w:rFonts w:ascii="Times" w:hAnsi="Times"/>
        </w:rPr>
        <w:t>. These</w:t>
      </w:r>
      <w:r w:rsidR="009842C7">
        <w:rPr>
          <w:rFonts w:ascii="Times" w:hAnsi="Times"/>
        </w:rPr>
        <w:t xml:space="preserve"> pituitary</w:t>
      </w:r>
      <w:r>
        <w:rPr>
          <w:rFonts w:ascii="Times" w:hAnsi="Times"/>
        </w:rPr>
        <w:t xml:space="preserve"> hormones can stimulate the synthesis and secretion of sex steroids. </w:t>
      </w:r>
      <w:r w:rsidR="0061707D">
        <w:rPr>
          <w:rFonts w:ascii="Times" w:hAnsi="Times"/>
        </w:rPr>
        <w:t>By understanding</w:t>
      </w:r>
      <w:r w:rsidR="009842C7">
        <w:rPr>
          <w:rFonts w:ascii="Times" w:hAnsi="Times"/>
        </w:rPr>
        <w:t xml:space="preserve"> the GnRH function,</w:t>
      </w:r>
      <w:r w:rsidR="0061707D">
        <w:rPr>
          <w:rFonts w:ascii="Times" w:hAnsi="Times"/>
        </w:rPr>
        <w:t xml:space="preserve"> </w:t>
      </w:r>
      <w:r w:rsidR="00EC3B9D">
        <w:rPr>
          <w:rFonts w:ascii="Times" w:hAnsi="Times"/>
        </w:rPr>
        <w:t>it becomes possible to treat the</w:t>
      </w:r>
      <w:r w:rsidR="0061707D">
        <w:rPr>
          <w:rFonts w:ascii="Times" w:hAnsi="Times"/>
        </w:rPr>
        <w:t xml:space="preserve"> c</w:t>
      </w:r>
      <w:r>
        <w:rPr>
          <w:rFonts w:ascii="Times" w:hAnsi="Times"/>
        </w:rPr>
        <w:t xml:space="preserve">onditions </w:t>
      </w:r>
      <w:r w:rsidR="009842C7">
        <w:rPr>
          <w:rFonts w:ascii="Times" w:hAnsi="Times"/>
        </w:rPr>
        <w:t>such as</w:t>
      </w:r>
      <w:r w:rsidR="00EC3B9D">
        <w:rPr>
          <w:rFonts w:ascii="Times" w:hAnsi="Times"/>
        </w:rPr>
        <w:t xml:space="preserve"> </w:t>
      </w:r>
      <w:r>
        <w:rPr>
          <w:rFonts w:ascii="Times" w:hAnsi="Times"/>
        </w:rPr>
        <w:t>hormonal cancers that are sensitive to sex steroids, precocious puberty, gender dysphoria, and infertility. Drugs that are utilized</w:t>
      </w:r>
      <w:r w:rsidR="00EC3B9D">
        <w:rPr>
          <w:rFonts w:ascii="Times" w:hAnsi="Times"/>
        </w:rPr>
        <w:t xml:space="preserve"> in these treatments</w:t>
      </w:r>
      <w:r>
        <w:rPr>
          <w:rFonts w:ascii="Times" w:hAnsi="Times"/>
        </w:rPr>
        <w:t xml:space="preserve"> include agonists and antagonists</w:t>
      </w:r>
      <w:r w:rsidR="009842C7">
        <w:rPr>
          <w:rFonts w:ascii="Times" w:hAnsi="Times"/>
        </w:rPr>
        <w:t xml:space="preserve"> of the GnRH receptors</w:t>
      </w:r>
      <w:r>
        <w:rPr>
          <w:rFonts w:ascii="Times" w:hAnsi="Times"/>
        </w:rPr>
        <w:t>. Agonists activate the receptors, but they are utilized in a continuous method to desensitize the gonadotrophs. Antagonists block the action of GnRH on the receptors of these cells. These drugs decrease the secretion of FSH and LH to regulate sex steroids which antagonize the conditions</w:t>
      </w:r>
      <w:r w:rsidR="009842C7">
        <w:rPr>
          <w:rFonts w:ascii="Times" w:hAnsi="Times"/>
        </w:rPr>
        <w:t xml:space="preserve"> mentioned previously</w:t>
      </w:r>
    </w:p>
    <w:p w14:paraId="4F995D2B" w14:textId="1202DAB1" w:rsidR="005F00BB" w:rsidRPr="00A94F8A" w:rsidRDefault="005F00BB" w:rsidP="005F00BB">
      <w:pPr>
        <w:spacing w:line="480" w:lineRule="auto"/>
        <w:rPr>
          <w:rFonts w:ascii="Times" w:hAnsi="Times"/>
          <w:b/>
          <w:bCs/>
        </w:rPr>
      </w:pPr>
      <w:r w:rsidRPr="00A94F8A">
        <w:rPr>
          <w:rFonts w:ascii="Times" w:hAnsi="Times"/>
          <w:b/>
          <w:bCs/>
        </w:rPr>
        <w:lastRenderedPageBreak/>
        <w:t>I</w:t>
      </w:r>
      <w:r w:rsidR="009842C7" w:rsidRPr="00A94F8A">
        <w:rPr>
          <w:rFonts w:ascii="Times" w:hAnsi="Times"/>
          <w:b/>
          <w:bCs/>
        </w:rPr>
        <w:t>ntroduction</w:t>
      </w:r>
    </w:p>
    <w:p w14:paraId="49980E2A" w14:textId="4D5AC3A1" w:rsidR="005F00BB" w:rsidRDefault="005F00BB" w:rsidP="005F00BB">
      <w:pPr>
        <w:spacing w:line="480" w:lineRule="auto"/>
        <w:rPr>
          <w:rFonts w:ascii="Times" w:hAnsi="Times"/>
        </w:rPr>
      </w:pPr>
      <w:r>
        <w:rPr>
          <w:rFonts w:ascii="Times" w:hAnsi="Times"/>
        </w:rPr>
        <w:tab/>
        <w:t xml:space="preserve">The human body can experience a plethora of disease states and conditions that effect the homeostasis of the living system. There are a </w:t>
      </w:r>
      <w:r w:rsidR="00EC3B9D">
        <w:rPr>
          <w:rFonts w:ascii="Times" w:hAnsi="Times"/>
        </w:rPr>
        <w:t xml:space="preserve">specific </w:t>
      </w:r>
      <w:r>
        <w:rPr>
          <w:rFonts w:ascii="Times" w:hAnsi="Times"/>
        </w:rPr>
        <w:t xml:space="preserve">set of conditions in which the gonadal hormone systems are disrupted either by </w:t>
      </w:r>
      <w:r w:rsidR="00856B6B">
        <w:rPr>
          <w:rFonts w:ascii="Times" w:hAnsi="Times"/>
        </w:rPr>
        <w:t>patho</w:t>
      </w:r>
      <w:r>
        <w:rPr>
          <w:rFonts w:ascii="Times" w:hAnsi="Times"/>
        </w:rPr>
        <w:t>logical disturbance or psychological disturbances. These conditions are sex hormone sensitive cancers, precocious puberty, gender dysphoria, and infertility. In order to treat these conditions, gonadotropin release hormone’</w:t>
      </w:r>
      <w:r w:rsidR="00856B6B">
        <w:rPr>
          <w:rFonts w:ascii="Times" w:hAnsi="Times"/>
        </w:rPr>
        <w:t>s</w:t>
      </w:r>
      <w:r>
        <w:rPr>
          <w:rFonts w:ascii="Times" w:hAnsi="Times"/>
        </w:rPr>
        <w:t xml:space="preserve"> activity is modulated through the use of receptor agonists and antagonists.</w:t>
      </w:r>
    </w:p>
    <w:p w14:paraId="7EB9D523" w14:textId="77777777" w:rsidR="00814188" w:rsidRPr="00814188" w:rsidRDefault="00814188" w:rsidP="005F00BB">
      <w:pPr>
        <w:spacing w:line="480" w:lineRule="auto"/>
        <w:rPr>
          <w:rFonts w:ascii="Times" w:hAnsi="Times"/>
        </w:rPr>
      </w:pPr>
    </w:p>
    <w:p w14:paraId="69644F66" w14:textId="17B5F561" w:rsidR="005F00BB" w:rsidRDefault="005F00BB" w:rsidP="005F00BB">
      <w:pPr>
        <w:spacing w:line="480" w:lineRule="auto"/>
        <w:rPr>
          <w:rFonts w:ascii="Times" w:hAnsi="Times"/>
          <w:b/>
          <w:bCs/>
        </w:rPr>
      </w:pPr>
      <w:r w:rsidRPr="003F4A87">
        <w:rPr>
          <w:rFonts w:ascii="Times" w:hAnsi="Times"/>
          <w:b/>
          <w:bCs/>
        </w:rPr>
        <w:t>R</w:t>
      </w:r>
      <w:r w:rsidR="009842C7">
        <w:rPr>
          <w:rFonts w:ascii="Times" w:hAnsi="Times"/>
          <w:b/>
          <w:bCs/>
        </w:rPr>
        <w:t xml:space="preserve">ole of </w:t>
      </w:r>
      <w:r w:rsidRPr="003F4A87">
        <w:rPr>
          <w:rFonts w:ascii="Times" w:hAnsi="Times"/>
          <w:b/>
          <w:bCs/>
        </w:rPr>
        <w:t>GnRH</w:t>
      </w:r>
    </w:p>
    <w:p w14:paraId="4846FCB5" w14:textId="0398CB25" w:rsidR="005F00BB" w:rsidRPr="00951BCD" w:rsidRDefault="005F00BB" w:rsidP="005F00BB">
      <w:pPr>
        <w:spacing w:line="480" w:lineRule="auto"/>
        <w:rPr>
          <w:rFonts w:ascii="Times" w:hAnsi="Times"/>
          <w:u w:val="single"/>
        </w:rPr>
      </w:pPr>
      <w:r w:rsidRPr="00951BCD">
        <w:rPr>
          <w:rFonts w:ascii="Times" w:hAnsi="Times"/>
          <w:u w:val="single"/>
        </w:rPr>
        <w:t>GnRH Neurons</w:t>
      </w:r>
    </w:p>
    <w:p w14:paraId="665980DF" w14:textId="463834E4" w:rsidR="005F00BB" w:rsidRDefault="005F00BB" w:rsidP="005F00BB">
      <w:pPr>
        <w:spacing w:line="480" w:lineRule="auto"/>
        <w:ind w:firstLine="720"/>
        <w:rPr>
          <w:rFonts w:ascii="Times" w:hAnsi="Times"/>
        </w:rPr>
      </w:pPr>
      <w:r>
        <w:rPr>
          <w:rFonts w:ascii="Times" w:hAnsi="Times"/>
        </w:rPr>
        <w:t xml:space="preserve"> Gonadotropin release hormone (GnRH) is a decapeptide hormone that is produced by specialized hypothalamic neurons. This hormone is responsible for controlling the levels of follicle stimulating hormone (FSH) and luteinizing hormone (LH) within the circulat</w:t>
      </w:r>
      <w:r w:rsidR="00EC3B9D">
        <w:rPr>
          <w:rFonts w:ascii="Times" w:hAnsi="Times"/>
        </w:rPr>
        <w:t>ory system</w:t>
      </w:r>
      <w:r>
        <w:rPr>
          <w:rFonts w:ascii="Times" w:hAnsi="Times"/>
        </w:rPr>
        <w:t xml:space="preserve"> </w:t>
      </w:r>
      <w:r w:rsidRPr="00951BCD">
        <w:rPr>
          <w:rFonts w:ascii="Times" w:hAnsi="Times"/>
          <w:noProof/>
        </w:rPr>
        <w:t>(LiverTox, 2018)</w:t>
      </w:r>
      <w:r>
        <w:rPr>
          <w:rFonts w:ascii="Times" w:hAnsi="Times"/>
        </w:rPr>
        <w:t>. The</w:t>
      </w:r>
      <w:r w:rsidR="00EC3B9D">
        <w:rPr>
          <w:rFonts w:ascii="Times" w:hAnsi="Times"/>
        </w:rPr>
        <w:t xml:space="preserve"> </w:t>
      </w:r>
      <w:r>
        <w:rPr>
          <w:rFonts w:ascii="Times" w:hAnsi="Times"/>
        </w:rPr>
        <w:t xml:space="preserve">neurons </w:t>
      </w:r>
      <w:r w:rsidR="00EC3B9D">
        <w:rPr>
          <w:rFonts w:ascii="Times" w:hAnsi="Times"/>
        </w:rPr>
        <w:t xml:space="preserve">that secrete GnRH </w:t>
      </w:r>
      <w:r>
        <w:rPr>
          <w:rFonts w:ascii="Times" w:hAnsi="Times"/>
        </w:rPr>
        <w:t>are unique to mammalian nervous systems and develop out of the nasal placode within an embryo and migrate to the into the hypothalamus during development. This migration is guided by following the terminal nerve complex of the accessory olfactory sense organ within the nasal placode to the hypothalamus of the developing brain. Once these neurons reach the hypothalamus, they extend out into the median eminence of the brain to excrete GnRH to control the gonadotroph within the pituitary gland</w:t>
      </w:r>
      <w:sdt>
        <w:sdtPr>
          <w:rPr>
            <w:rFonts w:ascii="Times" w:hAnsi="Times"/>
          </w:rPr>
          <w:id w:val="-1575116954"/>
          <w:citation/>
        </w:sdtPr>
        <w:sdtContent>
          <w:r>
            <w:rPr>
              <w:rFonts w:ascii="Times" w:hAnsi="Times"/>
            </w:rPr>
            <w:fldChar w:fldCharType="begin"/>
          </w:r>
          <w:r>
            <w:rPr>
              <w:rFonts w:ascii="Times" w:hAnsi="Times"/>
            </w:rPr>
            <w:instrText xml:space="preserve"> CITATION Her16 \l 1033 </w:instrText>
          </w:r>
          <w:r>
            <w:rPr>
              <w:rFonts w:ascii="Times" w:hAnsi="Times"/>
            </w:rPr>
            <w:fldChar w:fldCharType="separate"/>
          </w:r>
          <w:r>
            <w:rPr>
              <w:rFonts w:ascii="Times" w:hAnsi="Times"/>
              <w:noProof/>
            </w:rPr>
            <w:t xml:space="preserve"> </w:t>
          </w:r>
          <w:r w:rsidRPr="003F4A87">
            <w:rPr>
              <w:rFonts w:ascii="Times" w:hAnsi="Times"/>
              <w:noProof/>
            </w:rPr>
            <w:t>(Herbson, 2016)</w:t>
          </w:r>
          <w:r>
            <w:rPr>
              <w:rFonts w:ascii="Times" w:hAnsi="Times"/>
            </w:rPr>
            <w:fldChar w:fldCharType="end"/>
          </w:r>
        </w:sdtContent>
      </w:sdt>
      <w:r>
        <w:rPr>
          <w:rFonts w:ascii="Times" w:hAnsi="Times"/>
        </w:rPr>
        <w:t xml:space="preserve">. </w:t>
      </w:r>
    </w:p>
    <w:p w14:paraId="34BFA827" w14:textId="7A733C07" w:rsidR="00D267C1" w:rsidRDefault="005F00BB" w:rsidP="00D267C1">
      <w:pPr>
        <w:spacing w:line="480" w:lineRule="auto"/>
        <w:ind w:firstLine="720"/>
        <w:rPr>
          <w:rFonts w:ascii="Times" w:hAnsi="Times"/>
        </w:rPr>
      </w:pPr>
      <w:r>
        <w:rPr>
          <w:rFonts w:ascii="Times" w:hAnsi="Times"/>
        </w:rPr>
        <w:t xml:space="preserve">This migration has an interesting consequence on the physiology and development of these neurons. The cell body of these neurons are scattered throughout the basal forebrain with no clear reasoning or pattern. As a consequence of this arrangement, these neurons are very hard to analyze and study. With improvement over the last twenty years, their morphology has been </w:t>
      </w:r>
      <w:r>
        <w:rPr>
          <w:rFonts w:ascii="Times" w:hAnsi="Times"/>
        </w:rPr>
        <w:lastRenderedPageBreak/>
        <w:t>able to be better visualized and revealed that these cells are entire</w:t>
      </w:r>
      <w:r w:rsidR="00EC3B9D">
        <w:rPr>
          <w:rFonts w:ascii="Times" w:hAnsi="Times"/>
        </w:rPr>
        <w:t>ly</w:t>
      </w:r>
      <w:r>
        <w:rPr>
          <w:rFonts w:ascii="Times" w:hAnsi="Times"/>
        </w:rPr>
        <w:t xml:space="preserve"> </w:t>
      </w:r>
      <w:r w:rsidR="0064446E">
        <w:rPr>
          <w:rFonts w:ascii="Times" w:hAnsi="Times"/>
        </w:rPr>
        <w:t>distinctive</w:t>
      </w:r>
      <w:r>
        <w:rPr>
          <w:rFonts w:ascii="Times" w:hAnsi="Times"/>
        </w:rPr>
        <w:t xml:space="preserve"> among the mammalian nervous system. These neurons project into the median eminence, where they </w:t>
      </w:r>
      <w:r w:rsidR="00856B6B">
        <w:rPr>
          <w:rFonts w:ascii="Times" w:hAnsi="Times"/>
        </w:rPr>
        <w:t>branch</w:t>
      </w:r>
      <w:r>
        <w:rPr>
          <w:rFonts w:ascii="Times" w:hAnsi="Times"/>
        </w:rPr>
        <w:t xml:space="preserve"> short axon terminals to allow for GnRH secretion. These projections are unique as they seem to share properties of dendrites and axons. They receive synaptic inputs from other neurons like dendrites, but also conduct action potentials to the terminals that secrete GnRH in the median eminence like an axon. Due to their blended properties, these structures are called dendrons. </w:t>
      </w:r>
      <w:r w:rsidRPr="00A926D7">
        <w:rPr>
          <w:rFonts w:ascii="Times" w:hAnsi="Times"/>
        </w:rPr>
        <w:t xml:space="preserve">This morphology is </w:t>
      </w:r>
      <w:r w:rsidR="0064446E">
        <w:rPr>
          <w:rFonts w:ascii="Times" w:hAnsi="Times"/>
        </w:rPr>
        <w:t>isolated</w:t>
      </w:r>
      <w:r w:rsidRPr="00A926D7">
        <w:rPr>
          <w:rFonts w:ascii="Times" w:hAnsi="Times"/>
        </w:rPr>
        <w:t xml:space="preserve"> to GnRH neurons, as neighboring dopamine neurons have normal axonal projections in the median eminence</w:t>
      </w:r>
      <w:r w:rsidR="00D267C1" w:rsidRPr="00A926D7">
        <w:rPr>
          <w:rFonts w:ascii="Times" w:hAnsi="Times"/>
        </w:rPr>
        <w:t xml:space="preserve"> </w:t>
      </w:r>
      <w:sdt>
        <w:sdtPr>
          <w:rPr>
            <w:rFonts w:ascii="Times" w:hAnsi="Times"/>
          </w:rPr>
          <w:id w:val="-125636731"/>
          <w:citation/>
        </w:sdtPr>
        <w:sdtContent>
          <w:r w:rsidR="00D267C1" w:rsidRPr="00A926D7">
            <w:rPr>
              <w:rFonts w:ascii="Times" w:hAnsi="Times"/>
            </w:rPr>
            <w:fldChar w:fldCharType="begin"/>
          </w:r>
          <w:r w:rsidR="00D267C1" w:rsidRPr="00A926D7">
            <w:rPr>
              <w:rFonts w:ascii="Times" w:hAnsi="Times"/>
            </w:rPr>
            <w:instrText xml:space="preserve"> CITATION Her16 \l 1033 </w:instrText>
          </w:r>
          <w:r w:rsidR="00D267C1" w:rsidRPr="00A926D7">
            <w:rPr>
              <w:rFonts w:ascii="Times" w:hAnsi="Times"/>
            </w:rPr>
            <w:fldChar w:fldCharType="separate"/>
          </w:r>
          <w:r w:rsidR="00D267C1" w:rsidRPr="00A926D7">
            <w:rPr>
              <w:rFonts w:ascii="Times" w:hAnsi="Times"/>
              <w:noProof/>
            </w:rPr>
            <w:t>(Herbson, 2016)</w:t>
          </w:r>
          <w:r w:rsidR="00D267C1" w:rsidRPr="00A926D7">
            <w:rPr>
              <w:rFonts w:ascii="Times" w:hAnsi="Times"/>
            </w:rPr>
            <w:fldChar w:fldCharType="end"/>
          </w:r>
        </w:sdtContent>
      </w:sdt>
      <w:r w:rsidRPr="00A926D7">
        <w:rPr>
          <w:rFonts w:ascii="Times" w:hAnsi="Times"/>
        </w:rPr>
        <w:t>.</w:t>
      </w:r>
      <w:r w:rsidR="00EA22B6">
        <w:rPr>
          <w:rFonts w:ascii="Times" w:hAnsi="Times"/>
        </w:rPr>
        <w:t xml:space="preserve"> </w:t>
      </w:r>
    </w:p>
    <w:p w14:paraId="32CBDACC" w14:textId="13887B51" w:rsidR="005F00BB" w:rsidRDefault="00EA22B6" w:rsidP="00BF5915">
      <w:pPr>
        <w:spacing w:line="480" w:lineRule="auto"/>
        <w:ind w:firstLine="720"/>
        <w:rPr>
          <w:rFonts w:ascii="Times" w:hAnsi="Times"/>
        </w:rPr>
      </w:pPr>
      <w:r>
        <w:rPr>
          <w:rFonts w:ascii="Times" w:hAnsi="Times"/>
        </w:rPr>
        <w:t>During the migration of these neurons</w:t>
      </w:r>
      <w:r w:rsidR="005F00BB">
        <w:rPr>
          <w:rFonts w:ascii="Times" w:hAnsi="Times"/>
        </w:rPr>
        <w:t>, their dendr</w:t>
      </w:r>
      <w:r>
        <w:rPr>
          <w:rFonts w:ascii="Times" w:hAnsi="Times"/>
        </w:rPr>
        <w:t>ons</w:t>
      </w:r>
      <w:r w:rsidR="005F00BB">
        <w:rPr>
          <w:rFonts w:ascii="Times" w:hAnsi="Times"/>
        </w:rPr>
        <w:t xml:space="preserve"> wrap around one another and receive inputs from other afferent neurons when they terminate together in the median eminence of the brain.</w:t>
      </w:r>
      <w:r w:rsidR="00D267C1">
        <w:rPr>
          <w:rFonts w:ascii="Times" w:hAnsi="Times"/>
        </w:rPr>
        <w:t xml:space="preserve"> These neurons have unique functions within the hypothalamo-pituitary-gonadal axis (HPG), and this is partially attributed to these specialized features of GnRH neurons </w:t>
      </w:r>
      <w:sdt>
        <w:sdtPr>
          <w:rPr>
            <w:rFonts w:ascii="Times" w:hAnsi="Times"/>
          </w:rPr>
          <w:id w:val="-1125461248"/>
          <w:citation/>
        </w:sdtPr>
        <w:sdtContent>
          <w:r w:rsidR="005F00BB">
            <w:rPr>
              <w:rFonts w:ascii="Times" w:hAnsi="Times"/>
            </w:rPr>
            <w:fldChar w:fldCharType="begin"/>
          </w:r>
          <w:r w:rsidR="005F00BB">
            <w:rPr>
              <w:rFonts w:ascii="Times" w:hAnsi="Times"/>
            </w:rPr>
            <w:instrText xml:space="preserve"> CITATION Her16 \l 1033 </w:instrText>
          </w:r>
          <w:r w:rsidR="005F00BB">
            <w:rPr>
              <w:rFonts w:ascii="Times" w:hAnsi="Times"/>
            </w:rPr>
            <w:fldChar w:fldCharType="separate"/>
          </w:r>
          <w:r w:rsidR="005F00BB" w:rsidRPr="00951BCD">
            <w:rPr>
              <w:rFonts w:ascii="Times" w:hAnsi="Times"/>
              <w:noProof/>
            </w:rPr>
            <w:t>(Herbson, 2016)</w:t>
          </w:r>
          <w:r w:rsidR="005F00BB">
            <w:rPr>
              <w:rFonts w:ascii="Times" w:hAnsi="Times"/>
            </w:rPr>
            <w:fldChar w:fldCharType="end"/>
          </w:r>
        </w:sdtContent>
      </w:sdt>
      <w:r w:rsidR="005F00BB">
        <w:rPr>
          <w:rFonts w:ascii="Times" w:hAnsi="Times"/>
        </w:rPr>
        <w:t xml:space="preserve">. </w:t>
      </w:r>
      <w:proofErr w:type="spellStart"/>
      <w:r w:rsidR="00BF5915">
        <w:rPr>
          <w:rFonts w:ascii="Times" w:hAnsi="Times"/>
        </w:rPr>
        <w:t>Herbson</w:t>
      </w:r>
      <w:proofErr w:type="spellEnd"/>
      <w:r w:rsidR="00BF5915">
        <w:rPr>
          <w:rFonts w:ascii="Times" w:hAnsi="Times"/>
        </w:rPr>
        <w:t>, 2016,</w:t>
      </w:r>
      <w:r w:rsidR="00005CDE">
        <w:rPr>
          <w:rFonts w:ascii="Times" w:hAnsi="Times"/>
        </w:rPr>
        <w:t xml:space="preserve"> Figure 1 shows the overall activity of GnRH as well as relative locations of these structures within the brain.</w:t>
      </w:r>
    </w:p>
    <w:p w14:paraId="04381AD5" w14:textId="77777777" w:rsidR="00BF5915" w:rsidRDefault="00BF5915" w:rsidP="00BF5915">
      <w:pPr>
        <w:spacing w:line="480" w:lineRule="auto"/>
        <w:ind w:firstLine="720"/>
        <w:rPr>
          <w:rFonts w:ascii="Times" w:hAnsi="Times"/>
        </w:rPr>
      </w:pPr>
    </w:p>
    <w:p w14:paraId="5195878B" w14:textId="2201C614" w:rsidR="005F00BB" w:rsidRPr="00951BCD" w:rsidRDefault="005F00BB" w:rsidP="005F00BB">
      <w:pPr>
        <w:tabs>
          <w:tab w:val="left" w:pos="7340"/>
        </w:tabs>
        <w:spacing w:line="480" w:lineRule="auto"/>
        <w:rPr>
          <w:rFonts w:ascii="Times" w:hAnsi="Times"/>
          <w:u w:val="single"/>
        </w:rPr>
      </w:pPr>
      <w:r w:rsidRPr="00951BCD">
        <w:rPr>
          <w:rFonts w:ascii="Times" w:hAnsi="Times"/>
          <w:u w:val="single"/>
        </w:rPr>
        <w:t xml:space="preserve">Activation of GnRH </w:t>
      </w:r>
      <w:r w:rsidR="00AC6BD0">
        <w:rPr>
          <w:rFonts w:ascii="Times" w:hAnsi="Times"/>
          <w:u w:val="single"/>
        </w:rPr>
        <w:t>N</w:t>
      </w:r>
      <w:r w:rsidRPr="00951BCD">
        <w:rPr>
          <w:rFonts w:ascii="Times" w:hAnsi="Times"/>
          <w:u w:val="single"/>
        </w:rPr>
        <w:t>eurons</w:t>
      </w:r>
      <w:r w:rsidR="00AC6BD0">
        <w:rPr>
          <w:rFonts w:ascii="Times" w:hAnsi="Times"/>
          <w:u w:val="single"/>
        </w:rPr>
        <w:t xml:space="preserve"> through Human Development</w:t>
      </w:r>
    </w:p>
    <w:p w14:paraId="39E1987F" w14:textId="75303EDF" w:rsidR="000C6EC3" w:rsidRDefault="005F00BB" w:rsidP="00E250D8">
      <w:pPr>
        <w:spacing w:line="480" w:lineRule="auto"/>
        <w:rPr>
          <w:rFonts w:ascii="Times" w:hAnsi="Times"/>
        </w:rPr>
      </w:pPr>
      <w:r>
        <w:rPr>
          <w:rFonts w:ascii="Times" w:hAnsi="Times"/>
        </w:rPr>
        <w:t xml:space="preserve"> </w:t>
      </w:r>
      <w:r>
        <w:rPr>
          <w:rFonts w:ascii="Times" w:hAnsi="Times"/>
        </w:rPr>
        <w:tab/>
      </w:r>
      <w:r w:rsidR="00D267C1">
        <w:rPr>
          <w:rFonts w:ascii="Times" w:hAnsi="Times"/>
        </w:rPr>
        <w:t xml:space="preserve">GnRH neurons are activated at three distinct </w:t>
      </w:r>
      <w:r w:rsidR="00814188">
        <w:rPr>
          <w:rFonts w:ascii="Times" w:hAnsi="Times"/>
        </w:rPr>
        <w:t>moments within human development: during gestation, immediate</w:t>
      </w:r>
      <w:r w:rsidR="0064446E">
        <w:rPr>
          <w:rFonts w:ascii="Times" w:hAnsi="Times"/>
        </w:rPr>
        <w:t>ly</w:t>
      </w:r>
      <w:r w:rsidR="00814188">
        <w:rPr>
          <w:rFonts w:ascii="Times" w:hAnsi="Times"/>
        </w:rPr>
        <w:t xml:space="preserve"> after birth, and </w:t>
      </w:r>
      <w:r w:rsidR="00856B6B">
        <w:rPr>
          <w:rFonts w:ascii="Times" w:hAnsi="Times"/>
        </w:rPr>
        <w:t xml:space="preserve">a </w:t>
      </w:r>
      <w:r w:rsidR="00814188">
        <w:rPr>
          <w:rFonts w:ascii="Times" w:hAnsi="Times"/>
        </w:rPr>
        <w:t xml:space="preserve">permanent activation at the beginning of puberty. </w:t>
      </w:r>
      <w:r w:rsidR="0064446E">
        <w:rPr>
          <w:rFonts w:ascii="Times" w:hAnsi="Times"/>
        </w:rPr>
        <w:t>Around the timeframe of</w:t>
      </w:r>
      <w:r>
        <w:rPr>
          <w:rFonts w:ascii="Times" w:hAnsi="Times"/>
        </w:rPr>
        <w:t xml:space="preserve"> nine weeks of gestation, there </w:t>
      </w:r>
      <w:r w:rsidR="0064446E">
        <w:rPr>
          <w:rFonts w:ascii="Times" w:hAnsi="Times"/>
        </w:rPr>
        <w:t>are</w:t>
      </w:r>
      <w:r>
        <w:rPr>
          <w:rFonts w:ascii="Times" w:hAnsi="Times"/>
        </w:rPr>
        <w:t xml:space="preserve"> detectable level</w:t>
      </w:r>
      <w:r w:rsidR="0064446E">
        <w:rPr>
          <w:rFonts w:ascii="Times" w:hAnsi="Times"/>
        </w:rPr>
        <w:t>s</w:t>
      </w:r>
      <w:r>
        <w:rPr>
          <w:rFonts w:ascii="Times" w:hAnsi="Times"/>
        </w:rPr>
        <w:t xml:space="preserve"> of FSH and LH</w:t>
      </w:r>
      <w:r w:rsidR="00480300">
        <w:rPr>
          <w:rFonts w:ascii="Times" w:hAnsi="Times"/>
        </w:rPr>
        <w:t xml:space="preserve"> within the fetus</w:t>
      </w:r>
      <w:r>
        <w:rPr>
          <w:rFonts w:ascii="Times" w:hAnsi="Times"/>
        </w:rPr>
        <w:t xml:space="preserve">. </w:t>
      </w:r>
      <w:r w:rsidR="0064446E">
        <w:rPr>
          <w:rFonts w:ascii="Times" w:hAnsi="Times"/>
        </w:rPr>
        <w:t>For these levels to be maintained, it is</w:t>
      </w:r>
      <w:r>
        <w:rPr>
          <w:rFonts w:ascii="Times" w:hAnsi="Times"/>
        </w:rPr>
        <w:t xml:space="preserve"> likely </w:t>
      </w:r>
      <w:r w:rsidR="0064446E">
        <w:rPr>
          <w:rFonts w:ascii="Times" w:hAnsi="Times"/>
        </w:rPr>
        <w:t>that there is</w:t>
      </w:r>
      <w:r>
        <w:rPr>
          <w:rFonts w:ascii="Times" w:hAnsi="Times"/>
        </w:rPr>
        <w:t xml:space="preserve"> hypothalamic input from GnRH neurons</w:t>
      </w:r>
      <w:r w:rsidR="009B1BF6">
        <w:rPr>
          <w:rFonts w:ascii="Times" w:hAnsi="Times"/>
        </w:rPr>
        <w:t xml:space="preserve"> </w:t>
      </w:r>
      <w:r w:rsidR="0064446E">
        <w:rPr>
          <w:rFonts w:ascii="Times" w:hAnsi="Times"/>
        </w:rPr>
        <w:t xml:space="preserve">in order </w:t>
      </w:r>
      <w:r w:rsidR="009B1BF6">
        <w:rPr>
          <w:rFonts w:ascii="Times" w:hAnsi="Times"/>
        </w:rPr>
        <w:t>to maintain secretion and exert an effect on the gonadotrophins</w:t>
      </w:r>
      <w:r>
        <w:rPr>
          <w:rFonts w:ascii="Times" w:hAnsi="Times"/>
        </w:rPr>
        <w:t xml:space="preserve"> noted by Spaziani et. al. (2021). This secretion of gonadotropins become fully dependent on GnRH input </w:t>
      </w:r>
      <w:r w:rsidR="0064446E">
        <w:rPr>
          <w:rFonts w:ascii="Times" w:hAnsi="Times"/>
        </w:rPr>
        <w:t xml:space="preserve">at </w:t>
      </w:r>
      <w:r>
        <w:rPr>
          <w:rFonts w:ascii="Times" w:hAnsi="Times"/>
        </w:rPr>
        <w:t>around thirty to thirty-one weeks of gestation</w:t>
      </w:r>
      <w:r w:rsidR="000C6EC3" w:rsidRPr="000C6EC3">
        <w:rPr>
          <w:rFonts w:ascii="Times" w:hAnsi="Times"/>
        </w:rPr>
        <w:t xml:space="preserve"> </w:t>
      </w:r>
      <w:sdt>
        <w:sdtPr>
          <w:rPr>
            <w:rFonts w:ascii="Times" w:hAnsi="Times"/>
          </w:rPr>
          <w:id w:val="415140664"/>
          <w:citation/>
        </w:sdtPr>
        <w:sdtContent>
          <w:r w:rsidR="000C6EC3">
            <w:rPr>
              <w:rFonts w:ascii="Times" w:hAnsi="Times"/>
            </w:rPr>
            <w:fldChar w:fldCharType="begin"/>
          </w:r>
          <w:r w:rsidR="000C6EC3">
            <w:rPr>
              <w:rFonts w:ascii="Times" w:hAnsi="Times"/>
            </w:rPr>
            <w:instrText xml:space="preserve"> CITATION Spa21 \l 1033 </w:instrText>
          </w:r>
          <w:r w:rsidR="000C6EC3">
            <w:rPr>
              <w:rFonts w:ascii="Times" w:hAnsi="Times"/>
            </w:rPr>
            <w:fldChar w:fldCharType="separate"/>
          </w:r>
          <w:r w:rsidR="000C6EC3">
            <w:rPr>
              <w:rFonts w:ascii="Times" w:hAnsi="Times"/>
              <w:noProof/>
            </w:rPr>
            <w:t xml:space="preserve"> </w:t>
          </w:r>
          <w:r w:rsidR="000C6EC3" w:rsidRPr="00336E09">
            <w:rPr>
              <w:rFonts w:ascii="Times" w:hAnsi="Times"/>
              <w:noProof/>
            </w:rPr>
            <w:t>(Spaziani, et al., 2021)</w:t>
          </w:r>
          <w:r w:rsidR="000C6EC3">
            <w:rPr>
              <w:rFonts w:ascii="Times" w:hAnsi="Times"/>
            </w:rPr>
            <w:fldChar w:fldCharType="end"/>
          </w:r>
        </w:sdtContent>
      </w:sdt>
      <w:r>
        <w:rPr>
          <w:rFonts w:ascii="Times" w:hAnsi="Times"/>
        </w:rPr>
        <w:t>.</w:t>
      </w:r>
      <w:r w:rsidR="00E250D8">
        <w:rPr>
          <w:rFonts w:ascii="Times" w:hAnsi="Times"/>
        </w:rPr>
        <w:t xml:space="preserve"> </w:t>
      </w:r>
    </w:p>
    <w:p w14:paraId="0460CE10" w14:textId="232A4753" w:rsidR="00480300" w:rsidRDefault="000C6EC3" w:rsidP="000C6EC3">
      <w:pPr>
        <w:spacing w:line="480" w:lineRule="auto"/>
        <w:ind w:firstLine="720"/>
        <w:rPr>
          <w:rFonts w:ascii="Times" w:hAnsi="Times"/>
        </w:rPr>
      </w:pPr>
      <w:r>
        <w:rPr>
          <w:rFonts w:ascii="Times" w:hAnsi="Times"/>
        </w:rPr>
        <w:lastRenderedPageBreak/>
        <w:t>During the final phase of gestation, there is a large increase of placental estrogen. This increase</w:t>
      </w:r>
      <w:r w:rsidR="005F00BB">
        <w:rPr>
          <w:rFonts w:ascii="Times" w:hAnsi="Times"/>
        </w:rPr>
        <w:t xml:space="preserve"> </w:t>
      </w:r>
      <w:r w:rsidR="0064446E">
        <w:rPr>
          <w:rFonts w:ascii="Times" w:hAnsi="Times"/>
        </w:rPr>
        <w:t>begins</w:t>
      </w:r>
      <w:r w:rsidR="005F00BB">
        <w:rPr>
          <w:rFonts w:ascii="Times" w:hAnsi="Times"/>
        </w:rPr>
        <w:t xml:space="preserve"> exerting negative feedback on GnRH neurons</w:t>
      </w:r>
      <w:r w:rsidR="00962402">
        <w:rPr>
          <w:rFonts w:ascii="Times" w:hAnsi="Times"/>
        </w:rPr>
        <w:t xml:space="preserve"> within the fetus</w:t>
      </w:r>
      <w:r w:rsidR="003407EE">
        <w:rPr>
          <w:rFonts w:ascii="Times" w:hAnsi="Times"/>
        </w:rPr>
        <w:t>. As a result, the GnRH neurons hibernate</w:t>
      </w:r>
      <w:r w:rsidR="005F00BB">
        <w:rPr>
          <w:rFonts w:ascii="Times" w:hAnsi="Times"/>
        </w:rPr>
        <w:t xml:space="preserve"> until</w:t>
      </w:r>
      <w:r>
        <w:rPr>
          <w:rFonts w:ascii="Times" w:hAnsi="Times"/>
        </w:rPr>
        <w:t xml:space="preserve"> reactivation</w:t>
      </w:r>
      <w:r w:rsidR="005F00BB">
        <w:rPr>
          <w:rFonts w:ascii="Times" w:hAnsi="Times"/>
        </w:rPr>
        <w:t xml:space="preserve"> after birth.</w:t>
      </w:r>
      <w:r>
        <w:rPr>
          <w:rFonts w:ascii="Times" w:hAnsi="Times"/>
        </w:rPr>
        <w:t xml:space="preserve"> </w:t>
      </w:r>
      <w:r w:rsidR="003407EE">
        <w:rPr>
          <w:rFonts w:ascii="Times" w:hAnsi="Times"/>
        </w:rPr>
        <w:t>Placental</w:t>
      </w:r>
      <w:r>
        <w:rPr>
          <w:rFonts w:ascii="Times" w:hAnsi="Times"/>
        </w:rPr>
        <w:t xml:space="preserve"> hormones </w:t>
      </w:r>
      <w:r w:rsidR="003407EE">
        <w:rPr>
          <w:rFonts w:ascii="Times" w:hAnsi="Times"/>
        </w:rPr>
        <w:t>decrease in the days following birth</w:t>
      </w:r>
      <w:r>
        <w:rPr>
          <w:rFonts w:ascii="Times" w:hAnsi="Times"/>
        </w:rPr>
        <w:t>. After this period</w:t>
      </w:r>
      <w:r w:rsidR="005F00BB">
        <w:rPr>
          <w:rFonts w:ascii="Times" w:hAnsi="Times"/>
        </w:rPr>
        <w:t>, GnRH neurons will become active and GnRH levels</w:t>
      </w:r>
      <w:r w:rsidR="00962402">
        <w:rPr>
          <w:rFonts w:ascii="Times" w:hAnsi="Times"/>
        </w:rPr>
        <w:t xml:space="preserve"> in the fetus</w:t>
      </w:r>
      <w:r w:rsidR="005F00BB">
        <w:rPr>
          <w:rFonts w:ascii="Times" w:hAnsi="Times"/>
        </w:rPr>
        <w:t xml:space="preserve"> will increase </w:t>
      </w:r>
      <w:r w:rsidR="003407EE">
        <w:rPr>
          <w:rFonts w:ascii="Times" w:hAnsi="Times"/>
        </w:rPr>
        <w:t>from</w:t>
      </w:r>
      <w:r w:rsidR="005F00BB">
        <w:rPr>
          <w:rFonts w:ascii="Times" w:hAnsi="Times"/>
        </w:rPr>
        <w:t xml:space="preserve"> seven to ten days after birth. This </w:t>
      </w:r>
      <w:r>
        <w:rPr>
          <w:rFonts w:ascii="Times" w:hAnsi="Times"/>
        </w:rPr>
        <w:t>rise in GnRH</w:t>
      </w:r>
      <w:r w:rsidR="005F00BB">
        <w:rPr>
          <w:rFonts w:ascii="Times" w:hAnsi="Times"/>
        </w:rPr>
        <w:t xml:space="preserve"> is called mini-puberty, and this is essential for postnatal maturation of the gonads. After mini-puberty is accomplished, the hypothalamo-pituitary-gonadal axis will become dormant until the onset of puberty</w:t>
      </w:r>
      <w:r w:rsidR="005F00BB" w:rsidRPr="00951BCD">
        <w:rPr>
          <w:rFonts w:ascii="Times" w:hAnsi="Times"/>
        </w:rPr>
        <w:t xml:space="preserve"> </w:t>
      </w:r>
      <w:sdt>
        <w:sdtPr>
          <w:rPr>
            <w:rFonts w:ascii="Times" w:hAnsi="Times"/>
          </w:rPr>
          <w:id w:val="-1635246918"/>
          <w:citation/>
        </w:sdtPr>
        <w:sdtContent>
          <w:r w:rsidR="005F00BB">
            <w:rPr>
              <w:rFonts w:ascii="Times" w:hAnsi="Times"/>
            </w:rPr>
            <w:fldChar w:fldCharType="begin"/>
          </w:r>
          <w:r w:rsidR="005F00BB">
            <w:rPr>
              <w:rFonts w:ascii="Times" w:hAnsi="Times"/>
            </w:rPr>
            <w:instrText xml:space="preserve"> CITATION Spa21 \l 1033 </w:instrText>
          </w:r>
          <w:r w:rsidR="005F00BB">
            <w:rPr>
              <w:rFonts w:ascii="Times" w:hAnsi="Times"/>
            </w:rPr>
            <w:fldChar w:fldCharType="separate"/>
          </w:r>
          <w:r w:rsidR="005F00BB" w:rsidRPr="00951BCD">
            <w:rPr>
              <w:rFonts w:ascii="Times" w:hAnsi="Times"/>
              <w:noProof/>
            </w:rPr>
            <w:t>(Spaziani, et al., 2021)</w:t>
          </w:r>
          <w:r w:rsidR="005F00BB">
            <w:rPr>
              <w:rFonts w:ascii="Times" w:hAnsi="Times"/>
            </w:rPr>
            <w:fldChar w:fldCharType="end"/>
          </w:r>
        </w:sdtContent>
      </w:sdt>
      <w:r w:rsidR="005F00BB">
        <w:rPr>
          <w:rFonts w:ascii="Times" w:hAnsi="Times"/>
        </w:rPr>
        <w:t xml:space="preserve">. Mini-puberty lasts several months within male infants and roughly two years in female infants before this system enters dormancy, </w:t>
      </w:r>
      <w:r w:rsidR="003407EE">
        <w:rPr>
          <w:rFonts w:ascii="Times" w:hAnsi="Times"/>
        </w:rPr>
        <w:t>also known as</w:t>
      </w:r>
      <w:r w:rsidR="005F00BB">
        <w:rPr>
          <w:rFonts w:ascii="Times" w:hAnsi="Times"/>
        </w:rPr>
        <w:t xml:space="preserve"> juvenile hiatus </w:t>
      </w:r>
      <w:sdt>
        <w:sdtPr>
          <w:rPr>
            <w:rFonts w:ascii="Times" w:hAnsi="Times"/>
          </w:rPr>
          <w:id w:val="-519470426"/>
          <w:citation/>
        </w:sdtPr>
        <w:sdtContent>
          <w:r w:rsidR="005F00BB">
            <w:rPr>
              <w:rFonts w:ascii="Times" w:hAnsi="Times"/>
            </w:rPr>
            <w:fldChar w:fldCharType="begin"/>
          </w:r>
          <w:r w:rsidR="005F00BB">
            <w:rPr>
              <w:rFonts w:ascii="Times" w:hAnsi="Times"/>
            </w:rPr>
            <w:instrText xml:space="preserve"> CITATION Her16 \l 1033 </w:instrText>
          </w:r>
          <w:r w:rsidR="005F00BB">
            <w:rPr>
              <w:rFonts w:ascii="Times" w:hAnsi="Times"/>
            </w:rPr>
            <w:fldChar w:fldCharType="separate"/>
          </w:r>
          <w:r w:rsidR="005F00BB" w:rsidRPr="00951BCD">
            <w:rPr>
              <w:rFonts w:ascii="Times" w:hAnsi="Times"/>
              <w:noProof/>
            </w:rPr>
            <w:t>(Herbson, 2016)</w:t>
          </w:r>
          <w:r w:rsidR="005F00BB">
            <w:rPr>
              <w:rFonts w:ascii="Times" w:hAnsi="Times"/>
            </w:rPr>
            <w:fldChar w:fldCharType="end"/>
          </w:r>
        </w:sdtContent>
      </w:sdt>
      <w:r w:rsidR="001A5424">
        <w:rPr>
          <w:rFonts w:ascii="Times" w:hAnsi="Times"/>
        </w:rPr>
        <w:t>.</w:t>
      </w:r>
      <w:r w:rsidR="005F00BB">
        <w:rPr>
          <w:rFonts w:ascii="Times" w:hAnsi="Times"/>
        </w:rPr>
        <w:t xml:space="preserve">  The mechanism of this inactivity for this system is still unknown</w:t>
      </w:r>
      <w:r w:rsidR="00480300">
        <w:rPr>
          <w:rFonts w:ascii="Times" w:hAnsi="Times"/>
        </w:rPr>
        <w:t xml:space="preserve"> </w:t>
      </w:r>
      <w:sdt>
        <w:sdtPr>
          <w:rPr>
            <w:rFonts w:ascii="Times" w:hAnsi="Times"/>
          </w:rPr>
          <w:id w:val="878053907"/>
          <w:citation/>
        </w:sdtPr>
        <w:sdtContent>
          <w:r w:rsidR="00480300">
            <w:rPr>
              <w:rFonts w:ascii="Times" w:hAnsi="Times"/>
            </w:rPr>
            <w:fldChar w:fldCharType="begin"/>
          </w:r>
          <w:r w:rsidR="00480300">
            <w:rPr>
              <w:rFonts w:ascii="Times" w:hAnsi="Times"/>
            </w:rPr>
            <w:instrText xml:space="preserve"> CITATION Spa21 \l 1033 </w:instrText>
          </w:r>
          <w:r w:rsidR="00480300">
            <w:rPr>
              <w:rFonts w:ascii="Times" w:hAnsi="Times"/>
            </w:rPr>
            <w:fldChar w:fldCharType="separate"/>
          </w:r>
          <w:r w:rsidR="00480300">
            <w:rPr>
              <w:rFonts w:ascii="Times" w:hAnsi="Times"/>
              <w:noProof/>
            </w:rPr>
            <w:t xml:space="preserve"> </w:t>
          </w:r>
          <w:r w:rsidR="00480300" w:rsidRPr="00336E09">
            <w:rPr>
              <w:rFonts w:ascii="Times" w:hAnsi="Times"/>
              <w:noProof/>
            </w:rPr>
            <w:t>(Spaziani, et al., 2021)</w:t>
          </w:r>
          <w:r w:rsidR="00480300">
            <w:rPr>
              <w:rFonts w:ascii="Times" w:hAnsi="Times"/>
            </w:rPr>
            <w:fldChar w:fldCharType="end"/>
          </w:r>
        </w:sdtContent>
      </w:sdt>
      <w:r w:rsidR="005F00BB">
        <w:rPr>
          <w:rFonts w:ascii="Times" w:hAnsi="Times"/>
        </w:rPr>
        <w:t xml:space="preserve">. </w:t>
      </w:r>
      <w:proofErr w:type="spellStart"/>
      <w:r w:rsidR="00BF5915">
        <w:rPr>
          <w:rFonts w:ascii="Times" w:hAnsi="Times"/>
        </w:rPr>
        <w:t>Herbson</w:t>
      </w:r>
      <w:proofErr w:type="spellEnd"/>
      <w:r w:rsidR="00BF5915">
        <w:rPr>
          <w:rFonts w:ascii="Times" w:hAnsi="Times"/>
        </w:rPr>
        <w:t xml:space="preserve">, 2016, </w:t>
      </w:r>
      <w:r w:rsidR="00005CDE">
        <w:rPr>
          <w:rFonts w:ascii="Times" w:hAnsi="Times"/>
        </w:rPr>
        <w:t xml:space="preserve">Figure </w:t>
      </w:r>
      <w:r w:rsidR="00BF5915">
        <w:rPr>
          <w:rFonts w:ascii="Times" w:hAnsi="Times"/>
        </w:rPr>
        <w:t>4</w:t>
      </w:r>
      <w:r w:rsidR="00005CDE">
        <w:rPr>
          <w:rFonts w:ascii="Times" w:hAnsi="Times"/>
        </w:rPr>
        <w:t xml:space="preserve"> depicts activity of GnRH neurons during mini-puberty up to puberty.</w:t>
      </w:r>
    </w:p>
    <w:p w14:paraId="707DCB9D" w14:textId="4FAD1805" w:rsidR="005F00BB" w:rsidRDefault="005F00BB" w:rsidP="00480300">
      <w:pPr>
        <w:spacing w:line="480" w:lineRule="auto"/>
        <w:ind w:firstLine="720"/>
        <w:rPr>
          <w:rFonts w:ascii="Times" w:hAnsi="Times"/>
        </w:rPr>
      </w:pPr>
      <w:r>
        <w:rPr>
          <w:rFonts w:ascii="Times" w:hAnsi="Times"/>
        </w:rPr>
        <w:t>Puberty is initiated when the pulsatile release of GnRH occurs from the hypothalamic neurons into the median eminence, ultimately leading to the pulse of increase LH and FSH concentration</w:t>
      </w:r>
      <w:sdt>
        <w:sdtPr>
          <w:rPr>
            <w:rFonts w:ascii="Times" w:hAnsi="Times"/>
          </w:rPr>
          <w:id w:val="1366175934"/>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Pr>
              <w:rFonts w:ascii="Times" w:hAnsi="Times"/>
              <w:noProof/>
            </w:rPr>
            <w:t xml:space="preserve"> </w:t>
          </w:r>
          <w:r w:rsidRPr="00336E09">
            <w:rPr>
              <w:rFonts w:ascii="Times" w:hAnsi="Times"/>
              <w:noProof/>
            </w:rPr>
            <w:t>(Spaziani, et al., 2021)</w:t>
          </w:r>
          <w:r>
            <w:rPr>
              <w:rFonts w:ascii="Times" w:hAnsi="Times"/>
            </w:rPr>
            <w:fldChar w:fldCharType="end"/>
          </w:r>
        </w:sdtContent>
      </w:sdt>
      <w:r>
        <w:rPr>
          <w:rFonts w:ascii="Times" w:hAnsi="Times"/>
        </w:rPr>
        <w:t>. This eventually leads to rapid growth spurts, development of genitals, development of breast</w:t>
      </w:r>
      <w:r w:rsidR="003407EE">
        <w:rPr>
          <w:rFonts w:ascii="Times" w:hAnsi="Times"/>
        </w:rPr>
        <w:t>s</w:t>
      </w:r>
      <w:r>
        <w:rPr>
          <w:rFonts w:ascii="Times" w:hAnsi="Times"/>
        </w:rPr>
        <w:t xml:space="preserve"> in females, growth of various areas of body hair, and </w:t>
      </w:r>
      <w:r w:rsidR="003407EE">
        <w:rPr>
          <w:rFonts w:ascii="Times" w:hAnsi="Times"/>
        </w:rPr>
        <w:t xml:space="preserve">the </w:t>
      </w:r>
      <w:r>
        <w:rPr>
          <w:rFonts w:ascii="Times" w:hAnsi="Times"/>
        </w:rPr>
        <w:t xml:space="preserve">deepening of the voice in males </w:t>
      </w:r>
      <w:sdt>
        <w:sdtPr>
          <w:rPr>
            <w:rFonts w:ascii="Times" w:hAnsi="Times"/>
          </w:rPr>
          <w:id w:val="2143918648"/>
          <w:citation/>
        </w:sdtPr>
        <w:sdtContent>
          <w:r>
            <w:rPr>
              <w:rFonts w:ascii="Times" w:hAnsi="Times"/>
            </w:rPr>
            <w:fldChar w:fldCharType="begin"/>
          </w:r>
          <w:r>
            <w:rPr>
              <w:rFonts w:ascii="Times" w:hAnsi="Times"/>
            </w:rPr>
            <w:instrText xml:space="preserve"> CITATION Woo19 \l 1033 </w:instrText>
          </w:r>
          <w:r>
            <w:rPr>
              <w:rFonts w:ascii="Times" w:hAnsi="Times"/>
            </w:rPr>
            <w:fldChar w:fldCharType="separate"/>
          </w:r>
          <w:r w:rsidRPr="00336E09">
            <w:rPr>
              <w:rFonts w:ascii="Times" w:hAnsi="Times"/>
              <w:noProof/>
            </w:rPr>
            <w:t>(Wood, Lane, &amp; Cheetham, 2019)</w:t>
          </w:r>
          <w:r>
            <w:rPr>
              <w:rFonts w:ascii="Times" w:hAnsi="Times"/>
            </w:rPr>
            <w:fldChar w:fldCharType="end"/>
          </w:r>
        </w:sdtContent>
      </w:sdt>
      <w:r>
        <w:rPr>
          <w:rFonts w:ascii="Times" w:hAnsi="Times"/>
        </w:rPr>
        <w:t xml:space="preserve">. This is considered the last reactivation of the HPG axis </w:t>
      </w:r>
      <w:sdt>
        <w:sdtPr>
          <w:rPr>
            <w:rFonts w:ascii="Times" w:hAnsi="Times"/>
          </w:rPr>
          <w:id w:val="-1963253502"/>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sidRPr="00336E09">
            <w:rPr>
              <w:rFonts w:ascii="Times" w:hAnsi="Times"/>
              <w:noProof/>
            </w:rPr>
            <w:t>(Spaziani, et al., 2021)</w:t>
          </w:r>
          <w:r>
            <w:rPr>
              <w:rFonts w:ascii="Times" w:hAnsi="Times"/>
            </w:rPr>
            <w:fldChar w:fldCharType="end"/>
          </w:r>
        </w:sdtContent>
      </w:sdt>
      <w:r>
        <w:rPr>
          <w:rFonts w:ascii="Times" w:hAnsi="Times"/>
        </w:rPr>
        <w:t>.</w:t>
      </w:r>
    </w:p>
    <w:p w14:paraId="3CB445E9" w14:textId="77777777" w:rsidR="00BF5915" w:rsidRDefault="00BF5915" w:rsidP="005F00BB">
      <w:pPr>
        <w:spacing w:line="480" w:lineRule="auto"/>
        <w:rPr>
          <w:i/>
          <w:iCs/>
          <w:color w:val="44546A" w:themeColor="text2"/>
          <w:sz w:val="18"/>
          <w:szCs w:val="18"/>
        </w:rPr>
      </w:pPr>
    </w:p>
    <w:p w14:paraId="0AA67CDF" w14:textId="29E71AF4" w:rsidR="005F00BB" w:rsidRDefault="005F00BB" w:rsidP="005F00BB">
      <w:pPr>
        <w:spacing w:line="480" w:lineRule="auto"/>
        <w:rPr>
          <w:rFonts w:ascii="Times" w:hAnsi="Times"/>
          <w:u w:val="single"/>
        </w:rPr>
      </w:pPr>
      <w:r>
        <w:rPr>
          <w:rFonts w:ascii="Times" w:hAnsi="Times"/>
          <w:u w:val="single"/>
        </w:rPr>
        <w:t>Pulsatile Release of GnRH</w:t>
      </w:r>
    </w:p>
    <w:p w14:paraId="30113B7F" w14:textId="648332E6" w:rsidR="005F00BB" w:rsidRDefault="005F00BB" w:rsidP="005F00BB">
      <w:pPr>
        <w:spacing w:line="480" w:lineRule="auto"/>
        <w:rPr>
          <w:rFonts w:ascii="Times" w:hAnsi="Times"/>
        </w:rPr>
      </w:pPr>
      <w:r>
        <w:rPr>
          <w:rFonts w:ascii="Times" w:hAnsi="Times"/>
        </w:rPr>
        <w:tab/>
        <w:t>The onset of puberty is marked</w:t>
      </w:r>
      <w:r w:rsidR="003407EE">
        <w:rPr>
          <w:rFonts w:ascii="Times" w:hAnsi="Times"/>
        </w:rPr>
        <w:t xml:space="preserve"> by</w:t>
      </w:r>
      <w:r>
        <w:rPr>
          <w:rFonts w:ascii="Times" w:hAnsi="Times"/>
        </w:rPr>
        <w:t xml:space="preserve"> increasing frequency and amplitude of GnRH through the gradual reactivation of the pulse generator within the GnRH neurons. The result of this pulsed release of GnRH is the oscillation of FSH and LH within the blood. These hormones further regulate sex hormones that lead</w:t>
      </w:r>
      <w:r w:rsidR="003407EE">
        <w:rPr>
          <w:rFonts w:ascii="Times" w:hAnsi="Times"/>
        </w:rPr>
        <w:t xml:space="preserve"> to</w:t>
      </w:r>
      <w:r>
        <w:rPr>
          <w:rFonts w:ascii="Times" w:hAnsi="Times"/>
        </w:rPr>
        <w:t xml:space="preserve"> the reproductive maturation process within adolescents </w:t>
      </w:r>
      <w:sdt>
        <w:sdtPr>
          <w:rPr>
            <w:rFonts w:ascii="Times" w:hAnsi="Times"/>
          </w:rPr>
          <w:id w:val="1864621841"/>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sidRPr="00951BCD">
            <w:rPr>
              <w:rFonts w:ascii="Times" w:hAnsi="Times"/>
              <w:noProof/>
            </w:rPr>
            <w:t>(Spaziani, et al., 2021)</w:t>
          </w:r>
          <w:r>
            <w:rPr>
              <w:rFonts w:ascii="Times" w:hAnsi="Times"/>
            </w:rPr>
            <w:fldChar w:fldCharType="end"/>
          </w:r>
        </w:sdtContent>
      </w:sdt>
      <w:r>
        <w:rPr>
          <w:rFonts w:ascii="Times" w:hAnsi="Times"/>
        </w:rPr>
        <w:t xml:space="preserve">. It is not unusual for neuronal circuits within the brain to display oscillatory behaviors. </w:t>
      </w:r>
      <w:r w:rsidR="003407EE">
        <w:rPr>
          <w:rFonts w:ascii="Times" w:hAnsi="Times"/>
        </w:rPr>
        <w:t xml:space="preserve">However, </w:t>
      </w:r>
      <w:r>
        <w:rPr>
          <w:rFonts w:ascii="Times" w:hAnsi="Times"/>
        </w:rPr>
        <w:t xml:space="preserve">GnRH oscillations are unique compared to other circuits </w:t>
      </w:r>
      <w:r w:rsidR="003407EE">
        <w:rPr>
          <w:rFonts w:ascii="Times" w:hAnsi="Times"/>
        </w:rPr>
        <w:t>because</w:t>
      </w:r>
      <w:r>
        <w:rPr>
          <w:rFonts w:ascii="Times" w:hAnsi="Times"/>
        </w:rPr>
        <w:t xml:space="preserve"> </w:t>
      </w:r>
      <w:r w:rsidR="003407EE">
        <w:rPr>
          <w:rFonts w:ascii="Times" w:hAnsi="Times"/>
        </w:rPr>
        <w:t>they</w:t>
      </w:r>
      <w:r>
        <w:rPr>
          <w:rFonts w:ascii="Times" w:hAnsi="Times"/>
        </w:rPr>
        <w:t xml:space="preserve"> occur on the order of hours, while other oscillations </w:t>
      </w:r>
      <w:r w:rsidR="003407EE">
        <w:rPr>
          <w:rFonts w:ascii="Times" w:hAnsi="Times"/>
        </w:rPr>
        <w:t xml:space="preserve">often </w:t>
      </w:r>
      <w:r>
        <w:rPr>
          <w:rFonts w:ascii="Times" w:hAnsi="Times"/>
        </w:rPr>
        <w:t xml:space="preserve">occur in milliseconds </w:t>
      </w:r>
      <w:r w:rsidR="003407EE">
        <w:rPr>
          <w:rFonts w:ascii="Times" w:hAnsi="Times"/>
        </w:rPr>
        <w:t>or</w:t>
      </w:r>
      <w:r>
        <w:rPr>
          <w:rFonts w:ascii="Times" w:hAnsi="Times"/>
        </w:rPr>
        <w:t xml:space="preserve"> seconds. There are several potential mechanisms and factors that control the pulsatile mechanism </w:t>
      </w:r>
      <w:sdt>
        <w:sdtPr>
          <w:rPr>
            <w:rFonts w:ascii="Times" w:hAnsi="Times"/>
          </w:rPr>
          <w:id w:val="842440607"/>
          <w:citation/>
        </w:sdtPr>
        <w:sdtContent>
          <w:r>
            <w:rPr>
              <w:rFonts w:ascii="Times" w:hAnsi="Times"/>
            </w:rPr>
            <w:fldChar w:fldCharType="begin"/>
          </w:r>
          <w:r>
            <w:rPr>
              <w:rFonts w:ascii="Times" w:hAnsi="Times"/>
            </w:rPr>
            <w:instrText xml:space="preserve"> CITATION Ter19 \l 1033 </w:instrText>
          </w:r>
          <w:r>
            <w:rPr>
              <w:rFonts w:ascii="Times" w:hAnsi="Times"/>
            </w:rPr>
            <w:fldChar w:fldCharType="separate"/>
          </w:r>
          <w:r w:rsidRPr="00951BCD">
            <w:rPr>
              <w:rFonts w:ascii="Times" w:hAnsi="Times"/>
              <w:noProof/>
            </w:rPr>
            <w:t>(Terasawa, 2019)</w:t>
          </w:r>
          <w:r>
            <w:rPr>
              <w:rFonts w:ascii="Times" w:hAnsi="Times"/>
            </w:rPr>
            <w:fldChar w:fldCharType="end"/>
          </w:r>
        </w:sdtContent>
      </w:sdt>
      <w:r>
        <w:rPr>
          <w:rFonts w:ascii="Times" w:hAnsi="Times"/>
        </w:rPr>
        <w:t>.</w:t>
      </w:r>
    </w:p>
    <w:p w14:paraId="202451BA" w14:textId="69B58693" w:rsidR="005F00BB" w:rsidRDefault="005F00BB" w:rsidP="005F00BB">
      <w:pPr>
        <w:spacing w:line="480" w:lineRule="auto"/>
        <w:rPr>
          <w:rFonts w:ascii="Times" w:hAnsi="Times"/>
        </w:rPr>
      </w:pPr>
      <w:r>
        <w:rPr>
          <w:rFonts w:ascii="Times" w:hAnsi="Times"/>
        </w:rPr>
        <w:tab/>
        <w:t>The first mechanism of control placed on these neurons is neuromodulators. The first of these neuromodulators is kisspeptin. Kisspeptin is a power stimulator for the release of GnRH. This substance’s neurons have been identified within two major groups: arcuate nucleus (ARC) and preoptic area of the third ventricle (POA). It’s been noted that these two groups may play differing roles within the HPG axis. The ARC region has been shown to have negative feedback control on GnRH, while the POA area performs positive feedback control. ARC neurons do not utilize kisspeptin only. Other stimulatory modulators from these neurons include neurokinin B (NKB). Given studies on the genes responsible on NKB, it is believed that NKB plays a role in the stimulation of GnRH release through kisspeptin neurons</w:t>
      </w:r>
      <w:sdt>
        <w:sdtPr>
          <w:rPr>
            <w:rFonts w:ascii="Times" w:hAnsi="Times"/>
          </w:rPr>
          <w:id w:val="-663546941"/>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Pr>
              <w:rFonts w:ascii="Times" w:hAnsi="Times"/>
              <w:noProof/>
            </w:rPr>
            <w:t xml:space="preserve"> </w:t>
          </w:r>
          <w:r w:rsidRPr="00951BCD">
            <w:rPr>
              <w:rFonts w:ascii="Times" w:hAnsi="Times"/>
              <w:noProof/>
            </w:rPr>
            <w:t>(Spaziani, et al., 2021)</w:t>
          </w:r>
          <w:r>
            <w:rPr>
              <w:rFonts w:ascii="Times" w:hAnsi="Times"/>
            </w:rPr>
            <w:fldChar w:fldCharType="end"/>
          </w:r>
        </w:sdtContent>
      </w:sdt>
      <w:r w:rsidR="001A5424">
        <w:rPr>
          <w:rFonts w:ascii="Times" w:hAnsi="Times"/>
        </w:rPr>
        <w:t>.</w:t>
      </w:r>
    </w:p>
    <w:p w14:paraId="26FFD11F" w14:textId="5BB3B7EA" w:rsidR="001A5424" w:rsidRDefault="005F00BB" w:rsidP="00BF5915">
      <w:pPr>
        <w:spacing w:line="480" w:lineRule="auto"/>
        <w:rPr>
          <w:rFonts w:ascii="Times" w:hAnsi="Times"/>
        </w:rPr>
      </w:pPr>
      <w:r>
        <w:rPr>
          <w:rFonts w:ascii="Times" w:hAnsi="Times"/>
        </w:rPr>
        <w:tab/>
        <w:t>Further studies into sheep ARC regions found a third peptide being co-expressed with kisspeptin and NKB. This peptide is dynorphin (</w:t>
      </w:r>
      <w:proofErr w:type="spellStart"/>
      <w:r>
        <w:rPr>
          <w:rFonts w:ascii="Times" w:hAnsi="Times"/>
        </w:rPr>
        <w:t>Dyn</w:t>
      </w:r>
      <w:proofErr w:type="spellEnd"/>
      <w:r>
        <w:rPr>
          <w:rFonts w:ascii="Times" w:hAnsi="Times"/>
        </w:rPr>
        <w:t xml:space="preserve">), and it was shown to be inhibitory to the secretion of kisspeptin. Other studies confirmed the role of this peptide within the GnRH ecosystem through administration of an antagonist of </w:t>
      </w:r>
      <w:proofErr w:type="spellStart"/>
      <w:r>
        <w:rPr>
          <w:rFonts w:ascii="Times" w:hAnsi="Times"/>
        </w:rPr>
        <w:t>Dyn</w:t>
      </w:r>
      <w:proofErr w:type="spellEnd"/>
      <w:r>
        <w:rPr>
          <w:rFonts w:ascii="Times" w:hAnsi="Times"/>
        </w:rPr>
        <w:t xml:space="preserve"> receptors. Due to the interconnection of these three neuromodulators, </w:t>
      </w:r>
      <w:proofErr w:type="spellStart"/>
      <w:r>
        <w:rPr>
          <w:rFonts w:ascii="Times" w:hAnsi="Times"/>
        </w:rPr>
        <w:t>KNDyn</w:t>
      </w:r>
      <w:proofErr w:type="spellEnd"/>
      <w:r>
        <w:rPr>
          <w:rFonts w:ascii="Times" w:hAnsi="Times"/>
        </w:rPr>
        <w:t xml:space="preserve"> was coined to describe the set of neurons involved in the onset of puberty to stimulate GnRH neurons. Upstream of this system, other neuromodulators have been noted playing a role in the regulatory system on the pulse generator within GnRH neurons</w:t>
      </w:r>
      <w:r w:rsidR="00005CDE" w:rsidRPr="00005CDE">
        <w:rPr>
          <w:rFonts w:ascii="Times" w:hAnsi="Times"/>
        </w:rPr>
        <w:t xml:space="preserve"> </w:t>
      </w:r>
      <w:sdt>
        <w:sdtPr>
          <w:rPr>
            <w:rFonts w:ascii="Times" w:hAnsi="Times"/>
          </w:rPr>
          <w:id w:val="927858869"/>
          <w:citation/>
        </w:sdtPr>
        <w:sdtContent>
          <w:r w:rsidR="00005CDE">
            <w:rPr>
              <w:rFonts w:ascii="Times" w:hAnsi="Times"/>
            </w:rPr>
            <w:fldChar w:fldCharType="begin"/>
          </w:r>
          <w:r w:rsidR="00005CDE">
            <w:rPr>
              <w:rFonts w:ascii="Times" w:hAnsi="Times"/>
            </w:rPr>
            <w:instrText xml:space="preserve"> CITATION Spa21 \l 1033 </w:instrText>
          </w:r>
          <w:r w:rsidR="00005CDE">
            <w:rPr>
              <w:rFonts w:ascii="Times" w:hAnsi="Times"/>
            </w:rPr>
            <w:fldChar w:fldCharType="separate"/>
          </w:r>
          <w:r w:rsidR="00005CDE">
            <w:rPr>
              <w:rFonts w:ascii="Times" w:hAnsi="Times"/>
              <w:noProof/>
            </w:rPr>
            <w:t xml:space="preserve"> </w:t>
          </w:r>
          <w:r w:rsidR="00005CDE" w:rsidRPr="00951BCD">
            <w:rPr>
              <w:rFonts w:ascii="Times" w:hAnsi="Times"/>
              <w:noProof/>
            </w:rPr>
            <w:t>(Spaziani, et al., 2021)</w:t>
          </w:r>
          <w:r w:rsidR="00005CDE">
            <w:rPr>
              <w:rFonts w:ascii="Times" w:hAnsi="Times"/>
            </w:rPr>
            <w:fldChar w:fldCharType="end"/>
          </w:r>
        </w:sdtContent>
      </w:sdt>
      <w:r>
        <w:rPr>
          <w:rFonts w:ascii="Times" w:hAnsi="Times"/>
        </w:rPr>
        <w:t xml:space="preserve">. These neuromodulators are summarized in </w:t>
      </w:r>
      <w:proofErr w:type="spellStart"/>
      <w:r w:rsidR="00BF5915">
        <w:rPr>
          <w:rFonts w:ascii="Times" w:hAnsi="Times"/>
        </w:rPr>
        <w:t>Spaziani</w:t>
      </w:r>
      <w:proofErr w:type="spellEnd"/>
      <w:r w:rsidR="00BF5915">
        <w:rPr>
          <w:rFonts w:ascii="Times" w:hAnsi="Times"/>
        </w:rPr>
        <w:t xml:space="preserve"> et. al., 2021, </w:t>
      </w:r>
      <w:r w:rsidR="00005CDE">
        <w:rPr>
          <w:rFonts w:ascii="Times" w:hAnsi="Times"/>
        </w:rPr>
        <w:t>Table 1.</w:t>
      </w:r>
    </w:p>
    <w:p w14:paraId="7D66D611" w14:textId="536737D5" w:rsidR="005F00BB" w:rsidRDefault="005F00BB" w:rsidP="001A5424">
      <w:pPr>
        <w:spacing w:line="480" w:lineRule="auto"/>
        <w:ind w:firstLine="720"/>
        <w:rPr>
          <w:rFonts w:ascii="Times" w:hAnsi="Times"/>
        </w:rPr>
      </w:pPr>
      <w:r>
        <w:rPr>
          <w:rFonts w:ascii="Times" w:hAnsi="Times"/>
        </w:rPr>
        <w:lastRenderedPageBreak/>
        <w:t>Outside of neuromodulators, there is evidence that shows the pulsation of GnRH release is not fully independent from the rest of the brain and its activities. One study shows that human subjects at puberty age have slow-wave sleep associated with the beginning of LH pulse</w:t>
      </w:r>
      <w:r w:rsidR="002E1522">
        <w:rPr>
          <w:rFonts w:ascii="Times" w:hAnsi="Times"/>
        </w:rPr>
        <w:t>s</w:t>
      </w:r>
      <w:r>
        <w:rPr>
          <w:rFonts w:ascii="Times" w:hAnsi="Times"/>
        </w:rPr>
        <w:t>. These LH pulse</w:t>
      </w:r>
      <w:r w:rsidR="002E1522">
        <w:rPr>
          <w:rFonts w:ascii="Times" w:hAnsi="Times"/>
        </w:rPr>
        <w:t>s</w:t>
      </w:r>
      <w:r>
        <w:rPr>
          <w:rFonts w:ascii="Times" w:hAnsi="Times"/>
        </w:rPr>
        <w:t xml:space="preserve"> can serve as a stand in for GnRH as they are directly correlated. </w:t>
      </w:r>
      <w:r w:rsidR="002E1522">
        <w:rPr>
          <w:rFonts w:ascii="Times" w:hAnsi="Times"/>
        </w:rPr>
        <w:t>F</w:t>
      </w:r>
      <w:r>
        <w:rPr>
          <w:rFonts w:ascii="Times" w:hAnsi="Times"/>
        </w:rPr>
        <w:t>urther study</w:t>
      </w:r>
      <w:r w:rsidR="002E1522">
        <w:rPr>
          <w:rFonts w:ascii="Times" w:hAnsi="Times"/>
        </w:rPr>
        <w:t xml:space="preserve"> </w:t>
      </w:r>
      <w:r>
        <w:rPr>
          <w:rFonts w:ascii="Times" w:hAnsi="Times"/>
        </w:rPr>
        <w:t xml:space="preserve">finds that disruption of slow-wave sleep through loud auditory stimulus does not </w:t>
      </w:r>
      <w:r w:rsidR="001A5424">
        <w:rPr>
          <w:rFonts w:ascii="Times" w:hAnsi="Times"/>
        </w:rPr>
        <w:t>affect</w:t>
      </w:r>
      <w:r>
        <w:rPr>
          <w:rFonts w:ascii="Times" w:hAnsi="Times"/>
        </w:rPr>
        <w:t xml:space="preserve"> this relationship. This would suggest a common mechanism between the sleep rhythm and the generation of GnRH pulses.</w:t>
      </w:r>
      <w:r w:rsidR="005C02DC">
        <w:rPr>
          <w:rFonts w:ascii="Times" w:hAnsi="Times"/>
        </w:rPr>
        <w:t xml:space="preserve"> The “basic rest-activity cycle” is suggested as an explanation for the correlation between the mechanisms of the sleep cycle and the generation of GnRH pulse. This explanation is given some validity due to the reoccurrence of rapid eye movements within the sleep cycle every one to two hours. </w:t>
      </w:r>
      <w:r>
        <w:rPr>
          <w:rFonts w:ascii="Times" w:hAnsi="Times"/>
        </w:rPr>
        <w:t xml:space="preserve">Other physiological functions have been attached to this concept given that they seem to occur at one-to-two-hour intervals. So, it has been suggested that GnRH pulses are connected to this cycle as release of this hormone is linked to a thirty-to-ninety-minute interval. This suggestion is made with the understanding that there are various other factors that create variation within the pulse intervals </w:t>
      </w:r>
      <w:sdt>
        <w:sdtPr>
          <w:rPr>
            <w:rFonts w:ascii="Times" w:hAnsi="Times"/>
          </w:rPr>
          <w:id w:val="69940928"/>
          <w:citation/>
        </w:sdtPr>
        <w:sdtContent>
          <w:r>
            <w:rPr>
              <w:rFonts w:ascii="Times" w:hAnsi="Times"/>
            </w:rPr>
            <w:fldChar w:fldCharType="begin"/>
          </w:r>
          <w:r>
            <w:rPr>
              <w:rFonts w:ascii="Times" w:hAnsi="Times"/>
            </w:rPr>
            <w:instrText xml:space="preserve"> CITATION Ter19 \l 1033 </w:instrText>
          </w:r>
          <w:r>
            <w:rPr>
              <w:rFonts w:ascii="Times" w:hAnsi="Times"/>
            </w:rPr>
            <w:fldChar w:fldCharType="separate"/>
          </w:r>
          <w:r w:rsidRPr="008315D6">
            <w:rPr>
              <w:rFonts w:ascii="Times" w:hAnsi="Times"/>
              <w:noProof/>
            </w:rPr>
            <w:t>(Terasawa, 2019)</w:t>
          </w:r>
          <w:r>
            <w:rPr>
              <w:rFonts w:ascii="Times" w:hAnsi="Times"/>
            </w:rPr>
            <w:fldChar w:fldCharType="end"/>
          </w:r>
        </w:sdtContent>
      </w:sdt>
      <w:r>
        <w:rPr>
          <w:rFonts w:ascii="Times" w:hAnsi="Times"/>
        </w:rPr>
        <w:t xml:space="preserve">. </w:t>
      </w:r>
    </w:p>
    <w:p w14:paraId="6D2F4282" w14:textId="77777777" w:rsidR="005F00BB" w:rsidRDefault="005F00BB" w:rsidP="005F00BB">
      <w:pPr>
        <w:spacing w:line="480" w:lineRule="auto"/>
        <w:rPr>
          <w:rFonts w:ascii="Times" w:hAnsi="Times"/>
        </w:rPr>
      </w:pPr>
    </w:p>
    <w:p w14:paraId="49176AA4" w14:textId="29728864" w:rsidR="005F00BB" w:rsidRDefault="00AC6BD0" w:rsidP="005F00BB">
      <w:pPr>
        <w:spacing w:line="480" w:lineRule="auto"/>
        <w:rPr>
          <w:rFonts w:ascii="Times" w:hAnsi="Times"/>
        </w:rPr>
      </w:pPr>
      <w:r>
        <w:rPr>
          <w:rFonts w:ascii="Times" w:hAnsi="Times"/>
          <w:u w:val="single"/>
        </w:rPr>
        <w:t>GnRH Function</w:t>
      </w:r>
      <w:r w:rsidR="00352CEB">
        <w:rPr>
          <w:rFonts w:ascii="Times" w:hAnsi="Times"/>
          <w:u w:val="single"/>
        </w:rPr>
        <w:t xml:space="preserve"> and Receptor Cascade</w:t>
      </w:r>
    </w:p>
    <w:p w14:paraId="2262E155" w14:textId="7D879BD0" w:rsidR="005F00BB" w:rsidRDefault="005F00BB" w:rsidP="005F00BB">
      <w:pPr>
        <w:spacing w:line="480" w:lineRule="auto"/>
        <w:rPr>
          <w:rFonts w:ascii="Times" w:hAnsi="Times"/>
        </w:rPr>
      </w:pPr>
      <w:r>
        <w:rPr>
          <w:rFonts w:ascii="Times" w:hAnsi="Times"/>
        </w:rPr>
        <w:tab/>
        <w:t>When puberty begins and the HPG axis is activated, GnRH diffuses to the hypophyseal portal system</w:t>
      </w:r>
      <w:r w:rsidR="001A5424">
        <w:rPr>
          <w:rFonts w:ascii="Times" w:hAnsi="Times"/>
        </w:rPr>
        <w:t xml:space="preserve"> </w:t>
      </w:r>
      <w:r w:rsidR="00730526">
        <w:rPr>
          <w:rFonts w:ascii="Times" w:hAnsi="Times"/>
        </w:rPr>
        <w:t>where it goes to the anterior pituitary and stimulates gonadotrophs</w:t>
      </w:r>
      <w:r>
        <w:rPr>
          <w:rFonts w:ascii="Times" w:hAnsi="Times"/>
        </w:rPr>
        <w:t xml:space="preserve">. This is the primary action of GnRH, and it stimulates these cells to release of FSH and </w:t>
      </w:r>
      <w:r w:rsidR="00730526">
        <w:rPr>
          <w:rFonts w:ascii="Times" w:hAnsi="Times"/>
        </w:rPr>
        <w:t xml:space="preserve">LH </w:t>
      </w:r>
      <w:sdt>
        <w:sdtPr>
          <w:rPr>
            <w:rFonts w:ascii="Times" w:hAnsi="Times"/>
          </w:rPr>
          <w:id w:val="1802418187"/>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sidRPr="008315D6">
            <w:rPr>
              <w:rFonts w:ascii="Times" w:hAnsi="Times"/>
              <w:noProof/>
            </w:rPr>
            <w:t>(Spaziani, et al., 2021)</w:t>
          </w:r>
          <w:r>
            <w:rPr>
              <w:rFonts w:ascii="Times" w:hAnsi="Times"/>
            </w:rPr>
            <w:fldChar w:fldCharType="end"/>
          </w:r>
        </w:sdtContent>
      </w:sdt>
      <w:r>
        <w:rPr>
          <w:rFonts w:ascii="Times" w:hAnsi="Times"/>
        </w:rPr>
        <w:t xml:space="preserve">. </w:t>
      </w:r>
    </w:p>
    <w:p w14:paraId="466B45DB" w14:textId="0710D51E" w:rsidR="005F00BB" w:rsidRDefault="005F00BB" w:rsidP="005F00BB">
      <w:pPr>
        <w:spacing w:line="480" w:lineRule="auto"/>
        <w:rPr>
          <w:rFonts w:ascii="Times" w:hAnsi="Times"/>
        </w:rPr>
      </w:pPr>
      <w:r>
        <w:rPr>
          <w:rFonts w:ascii="Times" w:hAnsi="Times"/>
        </w:rPr>
        <w:tab/>
      </w:r>
      <w:r w:rsidR="00730526">
        <w:rPr>
          <w:rFonts w:ascii="Times" w:hAnsi="Times"/>
        </w:rPr>
        <w:t>GnRH binds to a receptor which</w:t>
      </w:r>
      <w:r>
        <w:rPr>
          <w:rFonts w:ascii="Times" w:hAnsi="Times"/>
        </w:rPr>
        <w:t xml:space="preserve"> is a seven putative transmembrane domain protein, and</w:t>
      </w:r>
      <w:r w:rsidR="00730526">
        <w:rPr>
          <w:rFonts w:ascii="Times" w:hAnsi="Times"/>
        </w:rPr>
        <w:t xml:space="preserve"> it</w:t>
      </w:r>
      <w:r>
        <w:rPr>
          <w:rFonts w:ascii="Times" w:hAnsi="Times"/>
        </w:rPr>
        <w:t xml:space="preserve"> belongs to the largest group of cell surface receptors, the serpentine or seven-transmembrane family of receptors</w:t>
      </w:r>
      <w:r w:rsidR="00730526">
        <w:rPr>
          <w:rFonts w:ascii="Times" w:hAnsi="Times"/>
        </w:rPr>
        <w:t>, which</w:t>
      </w:r>
      <w:r>
        <w:rPr>
          <w:rFonts w:ascii="Times" w:hAnsi="Times"/>
        </w:rPr>
        <w:t xml:space="preserve"> are G protein-coupled receptors</w:t>
      </w:r>
      <w:r w:rsidR="00FD67DE">
        <w:rPr>
          <w:rFonts w:ascii="Times" w:hAnsi="Times"/>
        </w:rPr>
        <w:t xml:space="preserve"> (GPCRs)</w:t>
      </w:r>
      <w:r>
        <w:rPr>
          <w:rFonts w:ascii="Times" w:hAnsi="Times"/>
        </w:rPr>
        <w:t xml:space="preserve">. </w:t>
      </w:r>
      <w:r w:rsidR="00730526">
        <w:rPr>
          <w:rFonts w:ascii="Times" w:hAnsi="Times"/>
        </w:rPr>
        <w:t>Interestingly, t</w:t>
      </w:r>
      <w:r>
        <w:rPr>
          <w:rFonts w:ascii="Times" w:hAnsi="Times"/>
        </w:rPr>
        <w:t xml:space="preserve">his receptor </w:t>
      </w:r>
      <w:r>
        <w:rPr>
          <w:rFonts w:ascii="Times" w:hAnsi="Times"/>
        </w:rPr>
        <w:lastRenderedPageBreak/>
        <w:t>also lacks a C-terminal tail. This feature makes the receptor resistant to rapid desensitization by preventing agonist-induced phosphorylation</w:t>
      </w:r>
      <w:r w:rsidR="009E52F1">
        <w:rPr>
          <w:rFonts w:ascii="Times" w:hAnsi="Times"/>
        </w:rPr>
        <w:t xml:space="preserve">. Without desensitization, these receptors can become overactive during </w:t>
      </w:r>
      <w:r w:rsidR="002E1522">
        <w:rPr>
          <w:rFonts w:ascii="Times" w:hAnsi="Times"/>
        </w:rPr>
        <w:t xml:space="preserve">the </w:t>
      </w:r>
      <w:r w:rsidR="009E52F1">
        <w:rPr>
          <w:rFonts w:ascii="Times" w:hAnsi="Times"/>
        </w:rPr>
        <w:t>binding of GnRH or other agonists</w:t>
      </w:r>
      <w:r w:rsidR="00FD67DE">
        <w:rPr>
          <w:rFonts w:ascii="Times" w:hAnsi="Times"/>
        </w:rPr>
        <w:t>.</w:t>
      </w:r>
      <w:r w:rsidR="009E52F1">
        <w:rPr>
          <w:rFonts w:ascii="Times" w:hAnsi="Times"/>
        </w:rPr>
        <w:t xml:space="preserve"> So</w:t>
      </w:r>
      <w:r>
        <w:rPr>
          <w:rFonts w:ascii="Times" w:hAnsi="Times"/>
        </w:rPr>
        <w:t xml:space="preserve"> desensitization of GnRH action has been attributed to post-GnRH receptor mechanisms</w:t>
      </w:r>
      <w:r w:rsidR="009E52F1">
        <w:rPr>
          <w:rFonts w:ascii="Times" w:hAnsi="Times"/>
        </w:rPr>
        <w:t>. Specifically, the desensitization is related to</w:t>
      </w:r>
      <w:r>
        <w:rPr>
          <w:rFonts w:ascii="Times" w:hAnsi="Times"/>
        </w:rPr>
        <w:t xml:space="preserve"> the regulation of down-stream inositol 1,4,5-triphosphate receptors and calcium transients </w:t>
      </w:r>
      <w:sdt>
        <w:sdtPr>
          <w:rPr>
            <w:rFonts w:ascii="Times" w:hAnsi="Times"/>
          </w:rPr>
          <w:id w:val="829869938"/>
          <w:citation/>
        </w:sdtPr>
        <w:sdtContent>
          <w:r>
            <w:rPr>
              <w:rFonts w:ascii="Times" w:hAnsi="Times"/>
            </w:rPr>
            <w:fldChar w:fldCharType="begin"/>
          </w:r>
          <w:r>
            <w:rPr>
              <w:rFonts w:ascii="Times" w:hAnsi="Times"/>
            </w:rPr>
            <w:instrText xml:space="preserve"> CITATION Ort02 \l 1033 </w:instrText>
          </w:r>
          <w:r>
            <w:rPr>
              <w:rFonts w:ascii="Times" w:hAnsi="Times"/>
            </w:rPr>
            <w:fldChar w:fldCharType="separate"/>
          </w:r>
          <w:r w:rsidRPr="008315D6">
            <w:rPr>
              <w:rFonts w:ascii="Times" w:hAnsi="Times"/>
              <w:noProof/>
            </w:rPr>
            <w:t>(Ortmann, Weiss, &amp; Diedrich, 2002)</w:t>
          </w:r>
          <w:r>
            <w:rPr>
              <w:rFonts w:ascii="Times" w:hAnsi="Times"/>
            </w:rPr>
            <w:fldChar w:fldCharType="end"/>
          </w:r>
        </w:sdtContent>
      </w:sdt>
      <w:r>
        <w:rPr>
          <w:rFonts w:ascii="Times" w:hAnsi="Times"/>
        </w:rPr>
        <w:t>.</w:t>
      </w:r>
    </w:p>
    <w:p w14:paraId="1C63C372" w14:textId="1E9FBE05" w:rsidR="005F00BB" w:rsidRDefault="005F00BB" w:rsidP="005F00BB">
      <w:pPr>
        <w:spacing w:line="480" w:lineRule="auto"/>
        <w:rPr>
          <w:rFonts w:ascii="Times" w:hAnsi="Times"/>
        </w:rPr>
      </w:pPr>
      <w:r>
        <w:rPr>
          <w:rFonts w:ascii="Times" w:hAnsi="Times"/>
        </w:rPr>
        <w:tab/>
        <w:t xml:space="preserve">The activity of the gonadotroph is also regulated through the number of receptors present at the surface of cells. The manner of regulation is time-dependent and dose-dependent on </w:t>
      </w:r>
      <w:r w:rsidR="002E1522">
        <w:rPr>
          <w:rFonts w:ascii="Times" w:hAnsi="Times"/>
        </w:rPr>
        <w:t xml:space="preserve">the concentration of </w:t>
      </w:r>
      <w:r>
        <w:rPr>
          <w:rFonts w:ascii="Times" w:hAnsi="Times"/>
        </w:rPr>
        <w:t xml:space="preserve">GnRH. This has been shown </w:t>
      </w:r>
      <w:r w:rsidR="002E1522">
        <w:rPr>
          <w:rFonts w:ascii="Times" w:hAnsi="Times"/>
        </w:rPr>
        <w:t xml:space="preserve">through testing involving </w:t>
      </w:r>
      <w:r>
        <w:rPr>
          <w:rFonts w:ascii="Times" w:hAnsi="Times"/>
        </w:rPr>
        <w:t xml:space="preserve">the application of moderate doses of GnRH and biochemical agonists for the receptor. Dosing with these compounds resulted in an initial decrease in receptors followed by a prolonged increase. When large concentrations of GnRH </w:t>
      </w:r>
      <w:r w:rsidR="00352CEB">
        <w:rPr>
          <w:rFonts w:ascii="Times" w:hAnsi="Times"/>
        </w:rPr>
        <w:t>are</w:t>
      </w:r>
      <w:r>
        <w:rPr>
          <w:rFonts w:ascii="Times" w:hAnsi="Times"/>
        </w:rPr>
        <w:t xml:space="preserve"> applied to gonadotrophs, there is a decrease in binding sites for the hormone. When the receptors are bound to GnRH or GnRH agonists, they are brought into the cell through receptor-mediated endocytosis. Once inside</w:t>
      </w:r>
      <w:r w:rsidR="002E1522">
        <w:rPr>
          <w:rFonts w:ascii="Times" w:hAnsi="Times"/>
        </w:rPr>
        <w:t>,</w:t>
      </w:r>
      <w:r>
        <w:rPr>
          <w:rFonts w:ascii="Times" w:hAnsi="Times"/>
        </w:rPr>
        <w:t xml:space="preserve"> the complex comes apart, and the ligand is dismantled. The receptor will </w:t>
      </w:r>
      <w:r w:rsidR="002E1522">
        <w:rPr>
          <w:rFonts w:ascii="Times" w:hAnsi="Times"/>
        </w:rPr>
        <w:t xml:space="preserve">then </w:t>
      </w:r>
      <w:r>
        <w:rPr>
          <w:rFonts w:ascii="Times" w:hAnsi="Times"/>
        </w:rPr>
        <w:t xml:space="preserve">undergo some recycling. </w:t>
      </w:r>
      <w:r w:rsidR="002E1522">
        <w:rPr>
          <w:rFonts w:ascii="Times" w:hAnsi="Times"/>
        </w:rPr>
        <w:t xml:space="preserve">Antagonists </w:t>
      </w:r>
      <w:r>
        <w:rPr>
          <w:rFonts w:ascii="Times" w:hAnsi="Times"/>
        </w:rPr>
        <w:t>bound to this receptor</w:t>
      </w:r>
      <w:r w:rsidR="002E1522">
        <w:rPr>
          <w:rFonts w:ascii="Times" w:hAnsi="Times"/>
        </w:rPr>
        <w:t xml:space="preserve"> will</w:t>
      </w:r>
      <w:r>
        <w:rPr>
          <w:rFonts w:ascii="Times" w:hAnsi="Times"/>
        </w:rPr>
        <w:t xml:space="preserve"> stay at the surface for long period of time, and endocytosis of GnRH bound receptor is not required for all GnRH-induced gonadotropin secretion </w:t>
      </w:r>
      <w:sdt>
        <w:sdtPr>
          <w:rPr>
            <w:rFonts w:ascii="Times" w:hAnsi="Times"/>
          </w:rPr>
          <w:id w:val="-196629823"/>
          <w:citation/>
        </w:sdtPr>
        <w:sdtContent>
          <w:r>
            <w:rPr>
              <w:rFonts w:ascii="Times" w:hAnsi="Times"/>
            </w:rPr>
            <w:fldChar w:fldCharType="begin"/>
          </w:r>
          <w:r>
            <w:rPr>
              <w:rFonts w:ascii="Times" w:hAnsi="Times"/>
            </w:rPr>
            <w:instrText xml:space="preserve"> CITATION Ort02 \l 1033 </w:instrText>
          </w:r>
          <w:r>
            <w:rPr>
              <w:rFonts w:ascii="Times" w:hAnsi="Times"/>
            </w:rPr>
            <w:fldChar w:fldCharType="separate"/>
          </w:r>
          <w:r w:rsidRPr="008315D6">
            <w:rPr>
              <w:rFonts w:ascii="Times" w:hAnsi="Times"/>
              <w:noProof/>
            </w:rPr>
            <w:t>(Ortmann, Weiss, &amp; Diedrich, 2002)</w:t>
          </w:r>
          <w:r>
            <w:rPr>
              <w:rFonts w:ascii="Times" w:hAnsi="Times"/>
            </w:rPr>
            <w:fldChar w:fldCharType="end"/>
          </w:r>
        </w:sdtContent>
      </w:sdt>
      <w:r>
        <w:rPr>
          <w:rFonts w:ascii="Times" w:hAnsi="Times"/>
        </w:rPr>
        <w:t xml:space="preserve">. </w:t>
      </w:r>
    </w:p>
    <w:p w14:paraId="3A4D9A92" w14:textId="088E691D" w:rsidR="005F00BB" w:rsidRDefault="005F00BB" w:rsidP="005F00BB">
      <w:pPr>
        <w:spacing w:line="480" w:lineRule="auto"/>
        <w:rPr>
          <w:rFonts w:ascii="Times" w:hAnsi="Times"/>
        </w:rPr>
      </w:pPr>
      <w:r>
        <w:rPr>
          <w:rFonts w:ascii="Times" w:hAnsi="Times"/>
        </w:rPr>
        <w:tab/>
        <w:t xml:space="preserve">Once the receptor is activated, a g-protein cascade is triggered. The first protein within these cascades activated are G9 and/or G11. These proteins will then increase phospholipase C activity. This activation will further lead to the breakdown of phosphoinositide generating inositol phosphates (IP) and diacylglycerol (DAG). A specific product, inositol (1,4,5) phosphate 3, binds to specific intracellular receptor channels on the endoplasmic reticulum and releases </w:t>
      </w:r>
      <w:r>
        <w:rPr>
          <w:rFonts w:ascii="Times" w:hAnsi="Times"/>
        </w:rPr>
        <w:lastRenderedPageBreak/>
        <w:t>calcium ions into the cytoplasm. On other hand, DAG created in the previously mentioned breakdown activate</w:t>
      </w:r>
      <w:r w:rsidR="002E1522">
        <w:rPr>
          <w:rFonts w:ascii="Times" w:hAnsi="Times"/>
        </w:rPr>
        <w:t>s</w:t>
      </w:r>
      <w:r>
        <w:rPr>
          <w:rFonts w:ascii="Times" w:hAnsi="Times"/>
        </w:rPr>
        <w:t xml:space="preserve"> protein kinase C. Gonadal steroids are able to modify PKC activity and work in a regulatory fashion within the GnRH receptor pathway. Other important parts of this cascade </w:t>
      </w:r>
      <w:r w:rsidR="00352CEB">
        <w:rPr>
          <w:rFonts w:ascii="Times" w:hAnsi="Times"/>
        </w:rPr>
        <w:t>are</w:t>
      </w:r>
      <w:r>
        <w:rPr>
          <w:rFonts w:ascii="Times" w:hAnsi="Times"/>
        </w:rPr>
        <w:t xml:space="preserve"> the activity of phospholipase A</w:t>
      </w:r>
      <w:r>
        <w:rPr>
          <w:rFonts w:ascii="Times" w:hAnsi="Times"/>
          <w:vertAlign w:val="subscript"/>
        </w:rPr>
        <w:t>2</w:t>
      </w:r>
      <w:r>
        <w:rPr>
          <w:rFonts w:ascii="Times" w:hAnsi="Times"/>
        </w:rPr>
        <w:t xml:space="preserve"> products, and their metabolites further activate subspecies of the PKC branch. These products have been shown to be influence</w:t>
      </w:r>
      <w:r w:rsidR="00FF367B">
        <w:rPr>
          <w:rFonts w:ascii="Times" w:hAnsi="Times"/>
        </w:rPr>
        <w:t xml:space="preserve">d </w:t>
      </w:r>
      <w:r>
        <w:rPr>
          <w:rFonts w:ascii="Times" w:hAnsi="Times"/>
        </w:rPr>
        <w:t>by gonadal steroids as well</w:t>
      </w:r>
      <w:sdt>
        <w:sdtPr>
          <w:rPr>
            <w:rFonts w:ascii="Times" w:hAnsi="Times"/>
          </w:rPr>
          <w:id w:val="-838460701"/>
          <w:citation/>
        </w:sdtPr>
        <w:sdtContent>
          <w:r>
            <w:rPr>
              <w:rFonts w:ascii="Times" w:hAnsi="Times"/>
            </w:rPr>
            <w:fldChar w:fldCharType="begin"/>
          </w:r>
          <w:r>
            <w:rPr>
              <w:rFonts w:ascii="Times" w:hAnsi="Times"/>
            </w:rPr>
            <w:instrText xml:space="preserve"> CITATION Ort02 \l 1033 </w:instrText>
          </w:r>
          <w:r>
            <w:rPr>
              <w:rFonts w:ascii="Times" w:hAnsi="Times"/>
            </w:rPr>
            <w:fldChar w:fldCharType="separate"/>
          </w:r>
          <w:r>
            <w:rPr>
              <w:rFonts w:ascii="Times" w:hAnsi="Times"/>
              <w:noProof/>
            </w:rPr>
            <w:t xml:space="preserve"> </w:t>
          </w:r>
          <w:r w:rsidRPr="008315D6">
            <w:rPr>
              <w:rFonts w:ascii="Times" w:hAnsi="Times"/>
              <w:noProof/>
            </w:rPr>
            <w:t>(Ortmann, Weiss, &amp; Diedrich, 2002)</w:t>
          </w:r>
          <w:r>
            <w:rPr>
              <w:rFonts w:ascii="Times" w:hAnsi="Times"/>
            </w:rPr>
            <w:fldChar w:fldCharType="end"/>
          </w:r>
        </w:sdtContent>
      </w:sdt>
      <w:r>
        <w:rPr>
          <w:rFonts w:ascii="Times" w:hAnsi="Times"/>
        </w:rPr>
        <w:t>.</w:t>
      </w:r>
    </w:p>
    <w:p w14:paraId="4E2FA8AE" w14:textId="77777777" w:rsidR="005F00BB" w:rsidRDefault="005F00BB" w:rsidP="005F00BB">
      <w:pPr>
        <w:spacing w:line="480" w:lineRule="auto"/>
        <w:rPr>
          <w:rFonts w:ascii="Times" w:hAnsi="Times"/>
        </w:rPr>
      </w:pPr>
      <w:r>
        <w:rPr>
          <w:rFonts w:ascii="Times" w:hAnsi="Times"/>
        </w:rPr>
        <w:tab/>
        <w:t>Along with their secretory effects on LH and FSH release, GnRH receptor system may have other intracellular effects. One such effect is that GnRH binding can lead to increased gene expression of ER</w:t>
      </w:r>
      <w:r>
        <w:rPr>
          <w:rFonts w:ascii="Times" w:hAnsi="Times"/>
        </w:rPr>
        <w:sym w:font="Symbol" w:char="F061"/>
      </w:r>
      <w:r>
        <w:rPr>
          <w:rFonts w:ascii="Times" w:hAnsi="Times"/>
        </w:rPr>
        <w:t xml:space="preserve">, which is a major gene within pituitary cells. Research has shown that with the presence of estradiol binding in the nucleus, GnRH can influence the expression of this gene. </w:t>
      </w:r>
    </w:p>
    <w:p w14:paraId="15670CA8" w14:textId="46BED44F" w:rsidR="005F00BB" w:rsidRPr="00BF5915" w:rsidRDefault="005F00BB" w:rsidP="005F00BB">
      <w:pPr>
        <w:spacing w:line="480" w:lineRule="auto"/>
        <w:rPr>
          <w:rFonts w:ascii="Times New Roman" w:hAnsi="Times New Roman" w:cs="Times New Roman"/>
        </w:rPr>
      </w:pPr>
      <w:r>
        <w:rPr>
          <w:rFonts w:ascii="Times" w:hAnsi="Times"/>
        </w:rPr>
        <w:t xml:space="preserve">The </w:t>
      </w:r>
      <w:r w:rsidR="00FF367B">
        <w:rPr>
          <w:rFonts w:ascii="Times" w:hAnsi="Times"/>
        </w:rPr>
        <w:t xml:space="preserve">GnRH receptor system can also cause some </w:t>
      </w:r>
      <w:r>
        <w:rPr>
          <w:rFonts w:ascii="Times" w:hAnsi="Times"/>
        </w:rPr>
        <w:t xml:space="preserve">of the GPCR in the GnRH cascade </w:t>
      </w:r>
      <w:r w:rsidR="00FF367B">
        <w:rPr>
          <w:rFonts w:ascii="Times" w:hAnsi="Times"/>
        </w:rPr>
        <w:t>to</w:t>
      </w:r>
      <w:r>
        <w:rPr>
          <w:rFonts w:ascii="Times" w:hAnsi="Times"/>
        </w:rPr>
        <w:t xml:space="preserve"> activate four Mitogen-activated protein kinases (MAPK) through a PKC-dependent mechanism. These MAPK are activated differentially in various cells that can express the GnRH receptors, but it is believed that it can play a role with the transcriptional regulation of genes </w:t>
      </w:r>
      <w:r w:rsidR="00352CEB">
        <w:rPr>
          <w:rFonts w:ascii="Times" w:hAnsi="Times"/>
        </w:rPr>
        <w:t>encoding FSH and LH</w:t>
      </w:r>
      <w:r>
        <w:rPr>
          <w:rFonts w:ascii="Times" w:hAnsi="Times"/>
        </w:rPr>
        <w:t xml:space="preserve"> </w:t>
      </w:r>
      <w:sdt>
        <w:sdtPr>
          <w:rPr>
            <w:rFonts w:ascii="Times" w:hAnsi="Times"/>
          </w:rPr>
          <w:id w:val="711157147"/>
          <w:citation/>
        </w:sdtPr>
        <w:sdtContent>
          <w:r>
            <w:rPr>
              <w:rFonts w:ascii="Times" w:hAnsi="Times"/>
            </w:rPr>
            <w:fldChar w:fldCharType="begin"/>
          </w:r>
          <w:r>
            <w:rPr>
              <w:rFonts w:ascii="Times" w:hAnsi="Times"/>
            </w:rPr>
            <w:instrText xml:space="preserve"> CITATION Ort02 \l 1033 </w:instrText>
          </w:r>
          <w:r>
            <w:rPr>
              <w:rFonts w:ascii="Times" w:hAnsi="Times"/>
            </w:rPr>
            <w:fldChar w:fldCharType="separate"/>
          </w:r>
          <w:r w:rsidRPr="008315D6">
            <w:rPr>
              <w:rFonts w:ascii="Times" w:hAnsi="Times"/>
              <w:noProof/>
            </w:rPr>
            <w:t>(Ortmann, Weiss, &amp; Diedrich, 2002)</w:t>
          </w:r>
          <w:r>
            <w:rPr>
              <w:rFonts w:ascii="Times" w:hAnsi="Times"/>
            </w:rPr>
            <w:fldChar w:fldCharType="end"/>
          </w:r>
        </w:sdtContent>
      </w:sdt>
      <w:r>
        <w:rPr>
          <w:rFonts w:ascii="Times" w:hAnsi="Times"/>
        </w:rPr>
        <w:t xml:space="preserve">. </w:t>
      </w:r>
      <w:r w:rsidR="00BF5915" w:rsidRPr="00BF5915">
        <w:rPr>
          <w:rFonts w:ascii="Times New Roman" w:hAnsi="Times New Roman" w:cs="Times New Roman"/>
          <w:noProof/>
        </w:rPr>
        <w:t xml:space="preserve">Kahnamouyi, Nouri, Farzadi, &amp; Darabi, 2018, </w:t>
      </w:r>
      <w:r w:rsidR="005A0646" w:rsidRPr="00BF5915">
        <w:rPr>
          <w:rFonts w:ascii="Times New Roman" w:hAnsi="Times New Roman" w:cs="Times New Roman"/>
        </w:rPr>
        <w:t>Figure 3 summarize</w:t>
      </w:r>
      <w:r w:rsidR="00FF367B" w:rsidRPr="00BF5915">
        <w:rPr>
          <w:rFonts w:ascii="Times New Roman" w:hAnsi="Times New Roman" w:cs="Times New Roman"/>
        </w:rPr>
        <w:t>s</w:t>
      </w:r>
      <w:r w:rsidR="005A0646" w:rsidRPr="00BF5915">
        <w:rPr>
          <w:rFonts w:ascii="Times New Roman" w:hAnsi="Times New Roman" w:cs="Times New Roman"/>
        </w:rPr>
        <w:t xml:space="preserve"> the signaling cascade that occurs when GnRH binds its receptor.</w:t>
      </w:r>
    </w:p>
    <w:p w14:paraId="6CECD8A3" w14:textId="4A6E3D52" w:rsidR="005F00BB" w:rsidRDefault="00352CEB" w:rsidP="003C563F">
      <w:pPr>
        <w:spacing w:line="480" w:lineRule="auto"/>
        <w:ind w:firstLine="720"/>
        <w:rPr>
          <w:rFonts w:ascii="Times" w:hAnsi="Times"/>
        </w:rPr>
      </w:pPr>
      <w:r>
        <w:rPr>
          <w:rFonts w:ascii="Times" w:hAnsi="Times"/>
        </w:rPr>
        <w:t>Outside of the gonadotrophs, GnRH receptors have been noted with</w:t>
      </w:r>
      <w:r w:rsidR="00FF367B">
        <w:rPr>
          <w:rFonts w:ascii="Times" w:hAnsi="Times"/>
        </w:rPr>
        <w:t>in</w:t>
      </w:r>
      <w:r>
        <w:rPr>
          <w:rFonts w:ascii="Times" w:hAnsi="Times"/>
        </w:rPr>
        <w:t xml:space="preserve"> the female reproductive organ. There</w:t>
      </w:r>
      <w:r w:rsidR="00FF367B">
        <w:rPr>
          <w:rFonts w:ascii="Times" w:hAnsi="Times"/>
        </w:rPr>
        <w:t>,</w:t>
      </w:r>
      <w:r>
        <w:rPr>
          <w:rFonts w:ascii="Times" w:hAnsi="Times"/>
        </w:rPr>
        <w:t xml:space="preserve"> GnRH has been noted as having inhibitory activity. It acts on ovarian steroidogenesis, ovulation, ovum transport, ovum implantation, pregnancy, and uterine growth. </w:t>
      </w:r>
      <w:r w:rsidR="00774DA6">
        <w:rPr>
          <w:rFonts w:ascii="Times" w:hAnsi="Times"/>
        </w:rPr>
        <w:t>Within the female reproductive system, GnRH is produced locally and acts in a paracrine</w:t>
      </w:r>
      <w:r w:rsidR="00FF367B">
        <w:rPr>
          <w:rFonts w:ascii="Times" w:hAnsi="Times"/>
        </w:rPr>
        <w:t xml:space="preserve"> fashion</w:t>
      </w:r>
      <w:r w:rsidR="00774DA6">
        <w:rPr>
          <w:rFonts w:ascii="Times" w:hAnsi="Times"/>
        </w:rPr>
        <w:t xml:space="preserve">. The source of the hormone has not been located within this system. GnRH receptors also have not been located within other tissues </w:t>
      </w:r>
      <w:r w:rsidR="00FF367B">
        <w:rPr>
          <w:rFonts w:ascii="Times" w:hAnsi="Times"/>
        </w:rPr>
        <w:t>as of the writing of this paper</w:t>
      </w:r>
      <w:r w:rsidR="003C563F">
        <w:rPr>
          <w:rFonts w:ascii="Times" w:hAnsi="Times"/>
        </w:rPr>
        <w:t xml:space="preserve"> </w:t>
      </w:r>
      <w:sdt>
        <w:sdtPr>
          <w:rPr>
            <w:rFonts w:ascii="Times" w:hAnsi="Times"/>
          </w:rPr>
          <w:id w:val="420072473"/>
          <w:citation/>
        </w:sdtPr>
        <w:sdtContent>
          <w:r w:rsidR="003C563F">
            <w:rPr>
              <w:rFonts w:ascii="Times" w:hAnsi="Times"/>
            </w:rPr>
            <w:fldChar w:fldCharType="begin"/>
          </w:r>
          <w:r w:rsidR="003C563F">
            <w:rPr>
              <w:rFonts w:ascii="Times" w:hAnsi="Times"/>
            </w:rPr>
            <w:instrText xml:space="preserve">CITATION Ort99 \t  \l 1033 </w:instrText>
          </w:r>
          <w:r w:rsidR="003C563F">
            <w:rPr>
              <w:rFonts w:ascii="Times" w:hAnsi="Times"/>
            </w:rPr>
            <w:fldChar w:fldCharType="separate"/>
          </w:r>
          <w:r w:rsidR="003C563F" w:rsidRPr="008315D6">
            <w:rPr>
              <w:rFonts w:ascii="Times" w:hAnsi="Times"/>
              <w:noProof/>
            </w:rPr>
            <w:t>(Ortmann &amp; Diedrich, 1999)</w:t>
          </w:r>
          <w:r w:rsidR="003C563F">
            <w:rPr>
              <w:rFonts w:ascii="Times" w:hAnsi="Times"/>
            </w:rPr>
            <w:fldChar w:fldCharType="end"/>
          </w:r>
        </w:sdtContent>
      </w:sdt>
      <w:r w:rsidR="00774DA6">
        <w:rPr>
          <w:rFonts w:ascii="Times" w:hAnsi="Times"/>
        </w:rPr>
        <w:t xml:space="preserve">. </w:t>
      </w:r>
      <w:r w:rsidR="00636998">
        <w:rPr>
          <w:rFonts w:ascii="Times" w:hAnsi="Times"/>
        </w:rPr>
        <w:t>T</w:t>
      </w:r>
      <w:r w:rsidR="00774DA6">
        <w:rPr>
          <w:rFonts w:ascii="Times" w:hAnsi="Times"/>
        </w:rPr>
        <w:t>hese</w:t>
      </w:r>
      <w:r w:rsidR="00636998">
        <w:rPr>
          <w:rFonts w:ascii="Times" w:hAnsi="Times"/>
        </w:rPr>
        <w:t xml:space="preserve"> non-gonadotroph</w:t>
      </w:r>
      <w:r w:rsidR="00774DA6">
        <w:rPr>
          <w:rFonts w:ascii="Times" w:hAnsi="Times"/>
        </w:rPr>
        <w:t xml:space="preserve"> receptors</w:t>
      </w:r>
      <w:r w:rsidR="003C563F">
        <w:rPr>
          <w:rFonts w:ascii="Times" w:hAnsi="Times"/>
        </w:rPr>
        <w:t xml:space="preserve"> are important because GnRH drugs</w:t>
      </w:r>
      <w:r w:rsidR="00636998">
        <w:rPr>
          <w:rFonts w:ascii="Times" w:hAnsi="Times"/>
        </w:rPr>
        <w:t xml:space="preserve"> </w:t>
      </w:r>
      <w:r w:rsidR="003C563F">
        <w:rPr>
          <w:rFonts w:ascii="Times" w:hAnsi="Times"/>
        </w:rPr>
        <w:t xml:space="preserve">can affect </w:t>
      </w:r>
      <w:r w:rsidR="003C563F">
        <w:rPr>
          <w:rFonts w:ascii="Times" w:hAnsi="Times"/>
        </w:rPr>
        <w:lastRenderedPageBreak/>
        <w:t>these receptors outside of the pituitary gland. This off-target binding can lead to side effects of GnRH drugs.</w:t>
      </w:r>
      <w:r w:rsidR="005F00BB">
        <w:rPr>
          <w:rFonts w:ascii="Times" w:hAnsi="Times"/>
        </w:rPr>
        <w:t xml:space="preserve"> </w:t>
      </w:r>
    </w:p>
    <w:p w14:paraId="0C984CC6" w14:textId="77777777" w:rsidR="00636998" w:rsidRDefault="00636998" w:rsidP="005F00BB">
      <w:pPr>
        <w:spacing w:line="480" w:lineRule="auto"/>
        <w:rPr>
          <w:rFonts w:ascii="Times" w:hAnsi="Times"/>
        </w:rPr>
      </w:pPr>
    </w:p>
    <w:p w14:paraId="553FDCB9" w14:textId="769E1402" w:rsidR="005F00BB" w:rsidRPr="009842C7" w:rsidRDefault="009842C7" w:rsidP="005F00BB">
      <w:pPr>
        <w:spacing w:line="480" w:lineRule="auto"/>
        <w:rPr>
          <w:rFonts w:ascii="Times" w:hAnsi="Times"/>
        </w:rPr>
      </w:pPr>
      <w:r w:rsidRPr="009842C7">
        <w:rPr>
          <w:rFonts w:ascii="Times" w:hAnsi="Times"/>
          <w:b/>
          <w:bCs/>
        </w:rPr>
        <w:t>Pathological c</w:t>
      </w:r>
      <w:r w:rsidR="00AC6BD0" w:rsidRPr="009842C7">
        <w:rPr>
          <w:rFonts w:ascii="Times" w:hAnsi="Times"/>
          <w:b/>
          <w:bCs/>
        </w:rPr>
        <w:t>onditions relat</w:t>
      </w:r>
      <w:r w:rsidRPr="009842C7">
        <w:rPr>
          <w:rFonts w:ascii="Times" w:hAnsi="Times"/>
          <w:b/>
          <w:bCs/>
        </w:rPr>
        <w:t>ed</w:t>
      </w:r>
      <w:r w:rsidR="00AC6BD0" w:rsidRPr="009842C7">
        <w:rPr>
          <w:rFonts w:ascii="Times" w:hAnsi="Times"/>
          <w:b/>
          <w:bCs/>
        </w:rPr>
        <w:t xml:space="preserve"> to </w:t>
      </w:r>
      <w:proofErr w:type="gramStart"/>
      <w:r w:rsidR="00AC6BD0" w:rsidRPr="009842C7">
        <w:rPr>
          <w:rFonts w:ascii="Times" w:hAnsi="Times"/>
          <w:b/>
          <w:bCs/>
        </w:rPr>
        <w:t>GnRH</w:t>
      </w:r>
      <w:proofErr w:type="gramEnd"/>
    </w:p>
    <w:p w14:paraId="0E039A9F" w14:textId="77777777" w:rsidR="005F00BB" w:rsidRDefault="005F00BB" w:rsidP="005F00BB">
      <w:pPr>
        <w:spacing w:line="480" w:lineRule="auto"/>
        <w:rPr>
          <w:rFonts w:ascii="Times" w:hAnsi="Times"/>
        </w:rPr>
      </w:pPr>
      <w:r>
        <w:rPr>
          <w:rFonts w:ascii="Times" w:hAnsi="Times"/>
        </w:rPr>
        <w:tab/>
        <w:t>There are a variety of medical reasons to block the action of GnRH on its receptor. Most of the reasons relate to GnRH’s role within the process of puberty or within sex steroidogenesis. Drugs that work to block the action of GnRH can be used in the treatment of sex steroid-based cancers, precocious puberty, gender dysphoria, and infertility</w:t>
      </w:r>
      <w:r>
        <w:rPr>
          <w:rFonts w:ascii="Times" w:hAnsi="Times"/>
          <w:noProof/>
        </w:rPr>
        <w:t xml:space="preserve"> </w:t>
      </w:r>
      <w:r w:rsidRPr="00336E09">
        <w:rPr>
          <w:rFonts w:ascii="Times" w:hAnsi="Times"/>
          <w:noProof/>
        </w:rPr>
        <w:t>(LiverTox, 2018)</w:t>
      </w:r>
      <w:r>
        <w:rPr>
          <w:rFonts w:ascii="Times" w:hAnsi="Times"/>
        </w:rPr>
        <w:t xml:space="preserve">. </w:t>
      </w:r>
    </w:p>
    <w:p w14:paraId="3B4F9171" w14:textId="7382CF40" w:rsidR="005F00BB" w:rsidRDefault="005F00BB" w:rsidP="005F00BB">
      <w:pPr>
        <w:spacing w:line="480" w:lineRule="auto"/>
        <w:rPr>
          <w:rFonts w:ascii="Times" w:hAnsi="Times"/>
        </w:rPr>
      </w:pPr>
      <w:r>
        <w:rPr>
          <w:rFonts w:ascii="Times" w:hAnsi="Times"/>
        </w:rPr>
        <w:tab/>
        <w:t xml:space="preserve">The first class of conditions that can be treated with GnRH </w:t>
      </w:r>
      <w:r w:rsidR="00B47257">
        <w:rPr>
          <w:rFonts w:ascii="Times" w:hAnsi="Times"/>
        </w:rPr>
        <w:t>agonists and antagonists</w:t>
      </w:r>
      <w:r>
        <w:rPr>
          <w:rFonts w:ascii="Times" w:hAnsi="Times"/>
        </w:rPr>
        <w:t xml:space="preserve"> are sex hormone sensitive cancers. This is due to the desensitization of gonadotrophs </w:t>
      </w:r>
      <w:r w:rsidR="00495C8E">
        <w:rPr>
          <w:rFonts w:ascii="Times" w:hAnsi="Times"/>
        </w:rPr>
        <w:t>because of</w:t>
      </w:r>
      <w:r>
        <w:rPr>
          <w:rFonts w:ascii="Times" w:hAnsi="Times"/>
        </w:rPr>
        <w:t xml:space="preserve"> excessive stimulation of GnRH receptors </w:t>
      </w:r>
      <w:r w:rsidR="00495C8E">
        <w:rPr>
          <w:rFonts w:ascii="Times" w:hAnsi="Times"/>
        </w:rPr>
        <w:t>from either</w:t>
      </w:r>
      <w:r>
        <w:rPr>
          <w:rFonts w:ascii="Times" w:hAnsi="Times"/>
        </w:rPr>
        <w:t xml:space="preserve"> agonists or the receptors being blocked from their ligand by antagonists. This would reduce the concentration of FSH and LH within the blood, and then eventually decrease the concentration of testosterone in males or estrogen in females. Robertson notes how these drugs have been used as a way to treat early and advanced forms of breast cancer in premenopausal</w:t>
      </w:r>
      <w:r w:rsidR="00FF367B">
        <w:rPr>
          <w:rFonts w:ascii="Times" w:hAnsi="Times"/>
        </w:rPr>
        <w:t xml:space="preserve"> people</w:t>
      </w:r>
      <w:r>
        <w:rPr>
          <w:rFonts w:ascii="Times" w:hAnsi="Times"/>
        </w:rPr>
        <w:t xml:space="preserve"> (2003). For the other sex, van </w:t>
      </w:r>
      <w:proofErr w:type="spellStart"/>
      <w:r>
        <w:rPr>
          <w:rFonts w:ascii="Times" w:hAnsi="Times"/>
        </w:rPr>
        <w:t>Poppel</w:t>
      </w:r>
      <w:proofErr w:type="spellEnd"/>
      <w:r>
        <w:rPr>
          <w:rFonts w:ascii="Times" w:hAnsi="Times"/>
        </w:rPr>
        <w:t xml:space="preserve"> and Nilsson mention how GnRH agonist have become a component in the treatment of prostate cancer (2008). This is possible due to the suppression of testosterone release as noted previously, and the dependence this cancer has for testosterone </w:t>
      </w:r>
      <w:sdt>
        <w:sdtPr>
          <w:rPr>
            <w:rFonts w:ascii="Times" w:hAnsi="Times"/>
          </w:rPr>
          <w:id w:val="757330495"/>
          <w:citation/>
        </w:sdtPr>
        <w:sdtContent>
          <w:r>
            <w:rPr>
              <w:rFonts w:ascii="Times" w:hAnsi="Times"/>
            </w:rPr>
            <w:fldChar w:fldCharType="begin"/>
          </w:r>
          <w:r>
            <w:rPr>
              <w:rFonts w:ascii="Times" w:hAnsi="Times"/>
            </w:rPr>
            <w:instrText xml:space="preserve"> CITATION van08 \l 1033 </w:instrText>
          </w:r>
          <w:r>
            <w:rPr>
              <w:rFonts w:ascii="Times" w:hAnsi="Times"/>
            </w:rPr>
            <w:fldChar w:fldCharType="separate"/>
          </w:r>
          <w:r w:rsidRPr="00336E09">
            <w:rPr>
              <w:rFonts w:ascii="Times" w:hAnsi="Times"/>
              <w:noProof/>
            </w:rPr>
            <w:t>(van Poppel &amp; Nilsson, 2008)</w:t>
          </w:r>
          <w:r>
            <w:rPr>
              <w:rFonts w:ascii="Times" w:hAnsi="Times"/>
            </w:rPr>
            <w:fldChar w:fldCharType="end"/>
          </w:r>
        </w:sdtContent>
      </w:sdt>
      <w:r>
        <w:rPr>
          <w:rFonts w:ascii="Times" w:hAnsi="Times"/>
        </w:rPr>
        <w:t xml:space="preserve">. </w:t>
      </w:r>
    </w:p>
    <w:p w14:paraId="768B610F" w14:textId="20B3F43F" w:rsidR="005F00BB" w:rsidRDefault="005F00BB" w:rsidP="005F00BB">
      <w:pPr>
        <w:spacing w:line="480" w:lineRule="auto"/>
        <w:rPr>
          <w:rFonts w:ascii="Times" w:hAnsi="Times"/>
        </w:rPr>
      </w:pPr>
      <w:r>
        <w:rPr>
          <w:rFonts w:ascii="Times" w:hAnsi="Times"/>
        </w:rPr>
        <w:tab/>
        <w:t>The next conditions that utilize these drugs is the treatment of precocious puberty. Precocious or premature puberty occurs when children begin the process of puberty before the age of eight in girls and nine in boys. The cause</w:t>
      </w:r>
      <w:r w:rsidR="00636998">
        <w:rPr>
          <w:rFonts w:ascii="Times" w:hAnsi="Times"/>
        </w:rPr>
        <w:t>s</w:t>
      </w:r>
      <w:r>
        <w:rPr>
          <w:rFonts w:ascii="Times" w:hAnsi="Times"/>
        </w:rPr>
        <w:t xml:space="preserve"> of the prec</w:t>
      </w:r>
      <w:r w:rsidR="005A3B4A">
        <w:rPr>
          <w:rFonts w:ascii="Times" w:hAnsi="Times"/>
        </w:rPr>
        <w:t>oc</w:t>
      </w:r>
      <w:r>
        <w:rPr>
          <w:rFonts w:ascii="Times" w:hAnsi="Times"/>
        </w:rPr>
        <w:t xml:space="preserve">ious puberty </w:t>
      </w:r>
      <w:r w:rsidR="00636998">
        <w:rPr>
          <w:rFonts w:ascii="Times" w:hAnsi="Times"/>
        </w:rPr>
        <w:t>are</w:t>
      </w:r>
      <w:r>
        <w:rPr>
          <w:rFonts w:ascii="Times" w:hAnsi="Times"/>
        </w:rPr>
        <w:t xml:space="preserve"> central precocious puberty (CPP)</w:t>
      </w:r>
      <w:r w:rsidR="00636998">
        <w:rPr>
          <w:rFonts w:ascii="Times" w:hAnsi="Times"/>
        </w:rPr>
        <w:t xml:space="preserve"> and peripheral precocious puberty (PPP). Only central precocious puberty</w:t>
      </w:r>
      <w:r>
        <w:rPr>
          <w:rFonts w:ascii="Times" w:hAnsi="Times"/>
        </w:rPr>
        <w:t xml:space="preserve"> can be treated with GnRH </w:t>
      </w:r>
      <w:r w:rsidR="00B47257">
        <w:rPr>
          <w:rFonts w:ascii="Times" w:hAnsi="Times"/>
        </w:rPr>
        <w:t>drugs</w:t>
      </w:r>
      <w:r w:rsidR="00636998">
        <w:rPr>
          <w:rFonts w:ascii="Times" w:hAnsi="Times"/>
        </w:rPr>
        <w:t xml:space="preserve"> as it is gonadotropin dependent</w:t>
      </w:r>
      <w:sdt>
        <w:sdtPr>
          <w:rPr>
            <w:rFonts w:ascii="Times" w:hAnsi="Times"/>
          </w:rPr>
          <w:id w:val="-1725749912"/>
          <w:citation/>
        </w:sdtPr>
        <w:sdtContent>
          <w:r>
            <w:rPr>
              <w:rFonts w:ascii="Times" w:hAnsi="Times"/>
            </w:rPr>
            <w:fldChar w:fldCharType="begin"/>
          </w:r>
          <w:r>
            <w:rPr>
              <w:rFonts w:ascii="Times" w:hAnsi="Times"/>
            </w:rPr>
            <w:instrText xml:space="preserve"> CITATION Spa21 \l 1033 </w:instrText>
          </w:r>
          <w:r>
            <w:rPr>
              <w:rFonts w:ascii="Times" w:hAnsi="Times"/>
            </w:rPr>
            <w:fldChar w:fldCharType="separate"/>
          </w:r>
          <w:r>
            <w:rPr>
              <w:rFonts w:ascii="Times" w:hAnsi="Times"/>
              <w:noProof/>
            </w:rPr>
            <w:t xml:space="preserve"> </w:t>
          </w:r>
          <w:r w:rsidRPr="00336E09">
            <w:rPr>
              <w:rFonts w:ascii="Times" w:hAnsi="Times"/>
              <w:noProof/>
            </w:rPr>
            <w:t>(Spaziani, et al., 2021)</w:t>
          </w:r>
          <w:r>
            <w:rPr>
              <w:rFonts w:ascii="Times" w:hAnsi="Times"/>
            </w:rPr>
            <w:fldChar w:fldCharType="end"/>
          </w:r>
        </w:sdtContent>
      </w:sdt>
      <w:r>
        <w:rPr>
          <w:rFonts w:ascii="Times" w:hAnsi="Times"/>
        </w:rPr>
        <w:t xml:space="preserve">. This condition </w:t>
      </w:r>
      <w:r>
        <w:rPr>
          <w:rFonts w:ascii="Times" w:hAnsi="Times"/>
        </w:rPr>
        <w:lastRenderedPageBreak/>
        <w:t xml:space="preserve">is often concerning due to longer term health consequences. Precocious puberty can be due to brain tumors or congenital adrenal hyperplasia. It also leads to early maturation of bones resulting in a short stature as well as certain physiological implications. It’s noted that for girls, early development leads to an increased frequency of risk-taking and delinquent behavior, as earlier start to sexual behaviors, and more sexual partners </w:t>
      </w:r>
      <w:sdt>
        <w:sdtPr>
          <w:rPr>
            <w:rFonts w:ascii="Times" w:hAnsi="Times"/>
          </w:rPr>
          <w:id w:val="-282886374"/>
          <w:citation/>
        </w:sdtPr>
        <w:sdtContent>
          <w:r>
            <w:rPr>
              <w:rFonts w:ascii="Times" w:hAnsi="Times"/>
            </w:rPr>
            <w:fldChar w:fldCharType="begin"/>
          </w:r>
          <w:r>
            <w:rPr>
              <w:rFonts w:ascii="Times" w:hAnsi="Times"/>
            </w:rPr>
            <w:instrText xml:space="preserve"> CITATION Kha19 \l 1033 </w:instrText>
          </w:r>
          <w:r>
            <w:rPr>
              <w:rFonts w:ascii="Times" w:hAnsi="Times"/>
            </w:rPr>
            <w:fldChar w:fldCharType="separate"/>
          </w:r>
          <w:r w:rsidRPr="00336E09">
            <w:rPr>
              <w:rFonts w:ascii="Times" w:hAnsi="Times"/>
              <w:noProof/>
            </w:rPr>
            <w:t>(Khan, 2019)</w:t>
          </w:r>
          <w:r>
            <w:rPr>
              <w:rFonts w:ascii="Times" w:hAnsi="Times"/>
            </w:rPr>
            <w:fldChar w:fldCharType="end"/>
          </w:r>
        </w:sdtContent>
      </w:sdt>
      <w:r>
        <w:rPr>
          <w:rFonts w:ascii="Times" w:hAnsi="Times"/>
        </w:rPr>
        <w:t xml:space="preserve">.  The standard of care for CPP is a long-acting treatment of GnRH </w:t>
      </w:r>
      <w:r w:rsidR="00B47257">
        <w:rPr>
          <w:rFonts w:ascii="Times" w:hAnsi="Times"/>
        </w:rPr>
        <w:t>drugs</w:t>
      </w:r>
      <w:r>
        <w:rPr>
          <w:rFonts w:ascii="Times" w:hAnsi="Times"/>
        </w:rPr>
        <w:t xml:space="preserve"> at high enough concentrations that it results in desensitization. The main goal of this treatment is to synchronize puberty development with peers, preserve adult height, relieve </w:t>
      </w:r>
      <w:r w:rsidR="005A3B4A">
        <w:rPr>
          <w:rFonts w:ascii="Times" w:hAnsi="Times"/>
        </w:rPr>
        <w:t>physio social</w:t>
      </w:r>
      <w:r>
        <w:rPr>
          <w:rFonts w:ascii="Times" w:hAnsi="Times"/>
        </w:rPr>
        <w:t xml:space="preserve"> distress due to early development, and delay menarche for girls</w:t>
      </w:r>
      <w:r>
        <w:rPr>
          <w:rFonts w:ascii="Times" w:hAnsi="Times"/>
          <w:noProof/>
        </w:rPr>
        <w:t xml:space="preserve"> </w:t>
      </w:r>
      <w:r w:rsidRPr="00336E09">
        <w:rPr>
          <w:rFonts w:ascii="Times" w:hAnsi="Times"/>
          <w:noProof/>
        </w:rPr>
        <w:t xml:space="preserve">(Cheuiche </w:t>
      </w:r>
      <w:r>
        <w:rPr>
          <w:rFonts w:ascii="Times" w:hAnsi="Times"/>
          <w:noProof/>
        </w:rPr>
        <w:t>et. al.,</w:t>
      </w:r>
      <w:r w:rsidRPr="00336E09">
        <w:rPr>
          <w:rFonts w:ascii="Times" w:hAnsi="Times"/>
          <w:noProof/>
        </w:rPr>
        <w:t xml:space="preserve"> 2021)</w:t>
      </w:r>
      <w:r>
        <w:rPr>
          <w:rFonts w:ascii="Times" w:hAnsi="Times"/>
        </w:rPr>
        <w:t xml:space="preserve">. </w:t>
      </w:r>
    </w:p>
    <w:p w14:paraId="5C176173" w14:textId="2AF515A4" w:rsidR="005F00BB" w:rsidRDefault="005F00BB" w:rsidP="005F00BB">
      <w:pPr>
        <w:spacing w:line="480" w:lineRule="auto"/>
        <w:rPr>
          <w:rFonts w:ascii="Times" w:hAnsi="Times"/>
        </w:rPr>
      </w:pPr>
      <w:r>
        <w:rPr>
          <w:rFonts w:ascii="Times" w:hAnsi="Times"/>
        </w:rPr>
        <w:tab/>
        <w:t xml:space="preserve">The third condition that can be treated through GnRH </w:t>
      </w:r>
      <w:r w:rsidR="00B47257">
        <w:rPr>
          <w:rFonts w:ascii="Times" w:hAnsi="Times"/>
        </w:rPr>
        <w:t>drugs</w:t>
      </w:r>
      <w:r>
        <w:rPr>
          <w:rFonts w:ascii="Times" w:hAnsi="Times"/>
        </w:rPr>
        <w:t xml:space="preserve"> is gender dysphoria. Gender dysphoria is defined as the perceived inconsistences between someone’s gender identity and their biological sex, and this often causes immense amounts of distress. Symptoms of this conditions can present as various different developmental stages of a person, but it is noted that it gets significantly worse during the development of secondary sexual characteristics through the process of puberty</w:t>
      </w:r>
      <w:sdt>
        <w:sdtPr>
          <w:rPr>
            <w:rFonts w:ascii="Times" w:hAnsi="Times"/>
          </w:rPr>
          <w:id w:val="117342300"/>
          <w:citation/>
        </w:sdtPr>
        <w:sdtContent>
          <w:r>
            <w:rPr>
              <w:rFonts w:ascii="Times" w:hAnsi="Times"/>
            </w:rPr>
            <w:fldChar w:fldCharType="begin"/>
          </w:r>
          <w:r>
            <w:rPr>
              <w:rFonts w:ascii="Times" w:hAnsi="Times"/>
            </w:rPr>
            <w:instrText xml:space="preserve"> CITATION Atk15 \l 1033 </w:instrText>
          </w:r>
          <w:r>
            <w:rPr>
              <w:rFonts w:ascii="Times" w:hAnsi="Times"/>
            </w:rPr>
            <w:fldChar w:fldCharType="separate"/>
          </w:r>
          <w:r>
            <w:rPr>
              <w:rFonts w:ascii="Times" w:hAnsi="Times"/>
              <w:noProof/>
            </w:rPr>
            <w:t xml:space="preserve"> </w:t>
          </w:r>
          <w:r w:rsidRPr="00336E09">
            <w:rPr>
              <w:rFonts w:ascii="Times" w:hAnsi="Times"/>
              <w:noProof/>
            </w:rPr>
            <w:t>(Atkinson &amp; Russell, 2015)</w:t>
          </w:r>
          <w:r>
            <w:rPr>
              <w:rFonts w:ascii="Times" w:hAnsi="Times"/>
            </w:rPr>
            <w:fldChar w:fldCharType="end"/>
          </w:r>
        </w:sdtContent>
      </w:sdt>
      <w:r>
        <w:rPr>
          <w:rFonts w:ascii="Times" w:hAnsi="Times"/>
        </w:rPr>
        <w:t xml:space="preserve">. </w:t>
      </w:r>
      <w:proofErr w:type="spellStart"/>
      <w:r>
        <w:rPr>
          <w:rFonts w:ascii="Times" w:hAnsi="Times"/>
        </w:rPr>
        <w:t>Rew</w:t>
      </w:r>
      <w:proofErr w:type="spellEnd"/>
      <w:r>
        <w:rPr>
          <w:rFonts w:ascii="Times" w:hAnsi="Times"/>
        </w:rPr>
        <w:t xml:space="preserve"> et. al.</w:t>
      </w:r>
      <w:r w:rsidR="00636998">
        <w:rPr>
          <w:rFonts w:ascii="Times" w:hAnsi="Times"/>
        </w:rPr>
        <w:t xml:space="preserve"> (</w:t>
      </w:r>
      <w:r w:rsidR="00A926D7">
        <w:rPr>
          <w:rFonts w:ascii="Times" w:hAnsi="Times"/>
        </w:rPr>
        <w:t>2021</w:t>
      </w:r>
      <w:r w:rsidR="00636998">
        <w:rPr>
          <w:rFonts w:ascii="Times" w:hAnsi="Times"/>
        </w:rPr>
        <w:t>)</w:t>
      </w:r>
      <w:r>
        <w:rPr>
          <w:rFonts w:ascii="Times" w:hAnsi="Times"/>
        </w:rPr>
        <w:t xml:space="preserve"> </w:t>
      </w:r>
      <w:r w:rsidR="00A926D7">
        <w:rPr>
          <w:rFonts w:ascii="Times" w:hAnsi="Times"/>
        </w:rPr>
        <w:t>discusses</w:t>
      </w:r>
      <w:r>
        <w:rPr>
          <w:rFonts w:ascii="Times" w:hAnsi="Times"/>
        </w:rPr>
        <w:t xml:space="preserve"> a study of physiological and psychological characteristics of 101 transgender individuals. </w:t>
      </w:r>
      <w:r w:rsidR="00A926D7">
        <w:rPr>
          <w:rFonts w:ascii="Times" w:hAnsi="Times"/>
        </w:rPr>
        <w:t>They</w:t>
      </w:r>
      <w:r>
        <w:rPr>
          <w:rFonts w:ascii="Times" w:hAnsi="Times"/>
        </w:rPr>
        <w:t xml:space="preserve"> found that one third of the participants experience</w:t>
      </w:r>
      <w:r w:rsidR="00A926D7">
        <w:rPr>
          <w:rFonts w:ascii="Times" w:hAnsi="Times"/>
        </w:rPr>
        <w:t>d</w:t>
      </w:r>
      <w:r>
        <w:rPr>
          <w:rFonts w:ascii="Times" w:hAnsi="Times"/>
        </w:rPr>
        <w:t xml:space="preserve"> clinical depression, more than one half had suicidal thoughts at least one, and roughly one in three had attempted suicide one or more times</w:t>
      </w:r>
      <w:r>
        <w:rPr>
          <w:rFonts w:ascii="Times" w:hAnsi="Times"/>
          <w:noProof/>
        </w:rPr>
        <w:t xml:space="preserve"> </w:t>
      </w:r>
      <w:r w:rsidRPr="00336E09">
        <w:rPr>
          <w:rFonts w:ascii="Times" w:hAnsi="Times"/>
          <w:noProof/>
        </w:rPr>
        <w:t>(Rew</w:t>
      </w:r>
      <w:r>
        <w:rPr>
          <w:rFonts w:ascii="Times" w:hAnsi="Times"/>
          <w:noProof/>
        </w:rPr>
        <w:t xml:space="preserve"> et. al.</w:t>
      </w:r>
      <w:r w:rsidRPr="00336E09">
        <w:rPr>
          <w:rFonts w:ascii="Times" w:hAnsi="Times"/>
          <w:noProof/>
        </w:rPr>
        <w:t>, 2021)</w:t>
      </w:r>
      <w:r>
        <w:rPr>
          <w:rFonts w:ascii="Times" w:hAnsi="Times"/>
        </w:rPr>
        <w:t xml:space="preserve">. The effects of gender dysphoria can be alleviated with a treatment that combines psychotherapy, puberty blockers, hormone replacement and surgery </w:t>
      </w:r>
      <w:sdt>
        <w:sdtPr>
          <w:rPr>
            <w:rFonts w:ascii="Times" w:hAnsi="Times"/>
          </w:rPr>
          <w:id w:val="241144676"/>
          <w:citation/>
        </w:sdtPr>
        <w:sdtContent>
          <w:r>
            <w:rPr>
              <w:rFonts w:ascii="Times" w:hAnsi="Times"/>
            </w:rPr>
            <w:fldChar w:fldCharType="begin"/>
          </w:r>
          <w:r>
            <w:rPr>
              <w:rFonts w:ascii="Times" w:hAnsi="Times"/>
            </w:rPr>
            <w:instrText xml:space="preserve"> CITATION Atk15 \l 1033 </w:instrText>
          </w:r>
          <w:r>
            <w:rPr>
              <w:rFonts w:ascii="Times" w:hAnsi="Times"/>
            </w:rPr>
            <w:fldChar w:fldCharType="separate"/>
          </w:r>
          <w:r w:rsidRPr="00336E09">
            <w:rPr>
              <w:rFonts w:ascii="Times" w:hAnsi="Times"/>
              <w:noProof/>
            </w:rPr>
            <w:t>(Atkinson &amp; Russell, 2015)</w:t>
          </w:r>
          <w:r>
            <w:rPr>
              <w:rFonts w:ascii="Times" w:hAnsi="Times"/>
            </w:rPr>
            <w:fldChar w:fldCharType="end"/>
          </w:r>
        </w:sdtContent>
      </w:sdt>
      <w:r>
        <w:rPr>
          <w:rFonts w:ascii="Times" w:hAnsi="Times"/>
        </w:rPr>
        <w:t xml:space="preserve">. The use of the GnRH </w:t>
      </w:r>
      <w:r w:rsidR="00B47257">
        <w:rPr>
          <w:rFonts w:ascii="Times" w:hAnsi="Times"/>
        </w:rPr>
        <w:t>drugs</w:t>
      </w:r>
      <w:r>
        <w:rPr>
          <w:rFonts w:ascii="Times" w:hAnsi="Times"/>
        </w:rPr>
        <w:t xml:space="preserve"> for gender affirming care has been found to improve some physiological function, reduce depression, and increase global functioning of these patients</w:t>
      </w:r>
      <w:sdt>
        <w:sdtPr>
          <w:rPr>
            <w:rFonts w:ascii="Times" w:hAnsi="Times"/>
          </w:rPr>
          <w:id w:val="-1328055095"/>
          <w:citation/>
        </w:sdtPr>
        <w:sdtContent>
          <w:r>
            <w:rPr>
              <w:rFonts w:ascii="Times" w:hAnsi="Times"/>
            </w:rPr>
            <w:fldChar w:fldCharType="begin"/>
          </w:r>
          <w:r>
            <w:rPr>
              <w:rFonts w:ascii="Times" w:hAnsi="Times"/>
            </w:rPr>
            <w:instrText xml:space="preserve"> CITATION Rew21 \l 1033 </w:instrText>
          </w:r>
          <w:r>
            <w:rPr>
              <w:rFonts w:ascii="Times" w:hAnsi="Times"/>
            </w:rPr>
            <w:fldChar w:fldCharType="separate"/>
          </w:r>
          <w:r>
            <w:rPr>
              <w:rFonts w:ascii="Times" w:hAnsi="Times"/>
              <w:noProof/>
            </w:rPr>
            <w:t xml:space="preserve"> </w:t>
          </w:r>
          <w:r w:rsidRPr="00336E09">
            <w:rPr>
              <w:rFonts w:ascii="Times" w:hAnsi="Times"/>
              <w:noProof/>
            </w:rPr>
            <w:t>(Rew, Young, Monge, &amp; Bogucka, 2021)</w:t>
          </w:r>
          <w:r>
            <w:rPr>
              <w:rFonts w:ascii="Times" w:hAnsi="Times"/>
            </w:rPr>
            <w:fldChar w:fldCharType="end"/>
          </w:r>
        </w:sdtContent>
      </w:sdt>
      <w:r>
        <w:rPr>
          <w:rFonts w:ascii="Times" w:hAnsi="Times"/>
        </w:rPr>
        <w:t xml:space="preserve">. </w:t>
      </w:r>
      <w:r w:rsidR="00B32050">
        <w:rPr>
          <w:rFonts w:ascii="Times" w:hAnsi="Times"/>
        </w:rPr>
        <w:t xml:space="preserve"> </w:t>
      </w:r>
      <w:proofErr w:type="spellStart"/>
      <w:r w:rsidR="00BF5915">
        <w:rPr>
          <w:rFonts w:ascii="Times" w:hAnsi="Times"/>
        </w:rPr>
        <w:t>Temming</w:t>
      </w:r>
      <w:proofErr w:type="spellEnd"/>
      <w:r w:rsidR="00BF5915">
        <w:rPr>
          <w:rFonts w:ascii="Times" w:hAnsi="Times"/>
        </w:rPr>
        <w:t xml:space="preserve">, 2021, </w:t>
      </w:r>
      <w:r w:rsidR="00B32050">
        <w:rPr>
          <w:rFonts w:ascii="Times" w:hAnsi="Times"/>
        </w:rPr>
        <w:t xml:space="preserve">Figure </w:t>
      </w:r>
      <w:r w:rsidR="00BF5915">
        <w:rPr>
          <w:rFonts w:ascii="Times" w:hAnsi="Times"/>
        </w:rPr>
        <w:t>2</w:t>
      </w:r>
      <w:r w:rsidR="00B32050">
        <w:rPr>
          <w:rFonts w:ascii="Times" w:hAnsi="Times"/>
        </w:rPr>
        <w:t xml:space="preserve"> summarize these findings </w:t>
      </w:r>
      <w:r w:rsidR="00B32050">
        <w:rPr>
          <w:rFonts w:ascii="Times" w:hAnsi="Times"/>
        </w:rPr>
        <w:lastRenderedPageBreak/>
        <w:t>within Dutch adolescents by comparing transgender adolescents to their cisgender counterparts</w:t>
      </w:r>
      <w:r w:rsidR="00BF5915">
        <w:rPr>
          <w:rFonts w:ascii="Times" w:hAnsi="Times"/>
        </w:rPr>
        <w:t>, and was made with data from van der Meisen, et. al. (2020)</w:t>
      </w:r>
      <w:r w:rsidR="00B32050">
        <w:rPr>
          <w:rFonts w:ascii="Times" w:hAnsi="Times"/>
        </w:rPr>
        <w:t>.</w:t>
      </w:r>
    </w:p>
    <w:p w14:paraId="0802734A" w14:textId="27ACE652" w:rsidR="005F00BB" w:rsidRDefault="005F00BB" w:rsidP="005F00BB">
      <w:pPr>
        <w:spacing w:line="480" w:lineRule="auto"/>
        <w:rPr>
          <w:rFonts w:ascii="Times" w:hAnsi="Times"/>
        </w:rPr>
      </w:pPr>
      <w:r>
        <w:rPr>
          <w:rFonts w:ascii="Times" w:hAnsi="Times"/>
        </w:rPr>
        <w:tab/>
        <w:t xml:space="preserve">The final condition noted to utilize GnRH </w:t>
      </w:r>
      <w:r w:rsidR="00B47257">
        <w:rPr>
          <w:rFonts w:ascii="Times" w:hAnsi="Times"/>
        </w:rPr>
        <w:t>drugs</w:t>
      </w:r>
      <w:r>
        <w:rPr>
          <w:rFonts w:ascii="Times" w:hAnsi="Times"/>
        </w:rPr>
        <w:t xml:space="preserve"> is the treatment of infertility. One way GnRH analogous help in the treatment of infertility is to preserve follicles within the ovary of women undergoing cancer treatments. It is accomplished as the reduced concentration of gonadotropins slow down the replication of follicles putting them at high risk of chemotherapy and radiation. It was found that treatment with agonists was effective in hematological and breast cancer treatments. But evidence was limited in ovarian, endometrial, and cervical cancer treatments. Studies with antagonists or combinations of the two are limited but promising to have the same effect</w:t>
      </w:r>
      <w:r>
        <w:rPr>
          <w:rFonts w:ascii="Times" w:hAnsi="Times"/>
          <w:noProof/>
        </w:rPr>
        <w:t xml:space="preserve"> </w:t>
      </w:r>
      <w:r w:rsidRPr="00336E09">
        <w:rPr>
          <w:rFonts w:ascii="Times" w:hAnsi="Times"/>
          <w:noProof/>
        </w:rPr>
        <w:t>(Valsamakis</w:t>
      </w:r>
      <w:r>
        <w:rPr>
          <w:rFonts w:ascii="Times" w:hAnsi="Times"/>
          <w:noProof/>
        </w:rPr>
        <w:t xml:space="preserve"> et. al.</w:t>
      </w:r>
      <w:r w:rsidRPr="00336E09">
        <w:rPr>
          <w:rFonts w:ascii="Times" w:hAnsi="Times"/>
          <w:noProof/>
        </w:rPr>
        <w:t>, 2022)</w:t>
      </w:r>
      <w:r>
        <w:rPr>
          <w:rFonts w:ascii="Times" w:hAnsi="Times"/>
        </w:rPr>
        <w:t xml:space="preserve">. This is a promising treatment for women wishing to preserve their fertility while treating their cancer. It provides them a non-invasive and reversible treatment </w:t>
      </w:r>
      <w:sdt>
        <w:sdtPr>
          <w:rPr>
            <w:rFonts w:ascii="Times" w:hAnsi="Times"/>
          </w:rPr>
          <w:id w:val="543258818"/>
          <w:citation/>
        </w:sdtPr>
        <w:sdtContent>
          <w:r>
            <w:rPr>
              <w:rFonts w:ascii="Times" w:hAnsi="Times"/>
            </w:rPr>
            <w:fldChar w:fldCharType="begin"/>
          </w:r>
          <w:r>
            <w:rPr>
              <w:rFonts w:ascii="Times" w:hAnsi="Times"/>
            </w:rPr>
            <w:instrText xml:space="preserve"> CITATION Rob03 \l 1033 </w:instrText>
          </w:r>
          <w:r>
            <w:rPr>
              <w:rFonts w:ascii="Times" w:hAnsi="Times"/>
            </w:rPr>
            <w:fldChar w:fldCharType="separate"/>
          </w:r>
          <w:r w:rsidRPr="00336E09">
            <w:rPr>
              <w:rFonts w:ascii="Times" w:hAnsi="Times"/>
              <w:noProof/>
            </w:rPr>
            <w:t>(Robertson &amp; Blamey, 2003)</w:t>
          </w:r>
          <w:r>
            <w:rPr>
              <w:rFonts w:ascii="Times" w:hAnsi="Times"/>
            </w:rPr>
            <w:fldChar w:fldCharType="end"/>
          </w:r>
        </w:sdtContent>
      </w:sdt>
      <w:r>
        <w:rPr>
          <w:rFonts w:ascii="Times" w:hAnsi="Times"/>
        </w:rPr>
        <w:t xml:space="preserve">. Another method using GnRH </w:t>
      </w:r>
      <w:r w:rsidR="00B47257">
        <w:rPr>
          <w:rFonts w:ascii="Times" w:hAnsi="Times"/>
        </w:rPr>
        <w:t>drug</w:t>
      </w:r>
      <w:r>
        <w:rPr>
          <w:rFonts w:ascii="Times" w:hAnsi="Times"/>
        </w:rPr>
        <w:t xml:space="preserve">s is to aid assisted reproductive technologies (ART) in women suffering from endometriosis. Studies exploring this treatment had women take GnRH analogue pretreatment for three to six months before undergoing ART. It was found that this resulted in favorable outcomes, but the mechanism in which this happens is unknown </w:t>
      </w:r>
      <w:sdt>
        <w:sdtPr>
          <w:rPr>
            <w:rFonts w:ascii="Times" w:hAnsi="Times"/>
          </w:rPr>
          <w:id w:val="-873842066"/>
          <w:citation/>
        </w:sdtPr>
        <w:sdtContent>
          <w:r>
            <w:rPr>
              <w:rFonts w:ascii="Times" w:hAnsi="Times"/>
            </w:rPr>
            <w:fldChar w:fldCharType="begin"/>
          </w:r>
          <w:r>
            <w:rPr>
              <w:rFonts w:ascii="Times" w:hAnsi="Times"/>
            </w:rPr>
            <w:instrText xml:space="preserve"> CITATION deZ10 \l 1033 </w:instrText>
          </w:r>
          <w:r>
            <w:rPr>
              <w:rFonts w:ascii="Times" w:hAnsi="Times"/>
            </w:rPr>
            <w:fldChar w:fldCharType="separate"/>
          </w:r>
          <w:r w:rsidRPr="00336E09">
            <w:rPr>
              <w:rFonts w:ascii="Times" w:hAnsi="Times"/>
              <w:noProof/>
            </w:rPr>
            <w:t>(de Ziegler, Borghese, &amp; Chapron, 2010)</w:t>
          </w:r>
          <w:r>
            <w:rPr>
              <w:rFonts w:ascii="Times" w:hAnsi="Times"/>
            </w:rPr>
            <w:fldChar w:fldCharType="end"/>
          </w:r>
        </w:sdtContent>
      </w:sdt>
      <w:r>
        <w:rPr>
          <w:rFonts w:ascii="Times" w:hAnsi="Times"/>
        </w:rPr>
        <w:t>.</w:t>
      </w:r>
    </w:p>
    <w:p w14:paraId="610D90AF" w14:textId="77777777" w:rsidR="005F00BB" w:rsidRDefault="005F00BB" w:rsidP="005F00BB">
      <w:pPr>
        <w:spacing w:line="480" w:lineRule="auto"/>
        <w:rPr>
          <w:rFonts w:ascii="Times" w:hAnsi="Times"/>
        </w:rPr>
      </w:pPr>
    </w:p>
    <w:p w14:paraId="60746942" w14:textId="360EF371" w:rsidR="005F00BB" w:rsidRPr="009842C7" w:rsidRDefault="005F00BB" w:rsidP="005F00BB">
      <w:pPr>
        <w:spacing w:line="480" w:lineRule="auto"/>
        <w:rPr>
          <w:rFonts w:ascii="Times" w:hAnsi="Times"/>
        </w:rPr>
      </w:pPr>
      <w:r w:rsidRPr="009842C7">
        <w:rPr>
          <w:rFonts w:ascii="Times" w:hAnsi="Times"/>
          <w:b/>
          <w:bCs/>
        </w:rPr>
        <w:t xml:space="preserve">Types of GnRH </w:t>
      </w:r>
      <w:r w:rsidR="00B47257" w:rsidRPr="009842C7">
        <w:rPr>
          <w:rFonts w:ascii="Times" w:hAnsi="Times"/>
          <w:b/>
          <w:bCs/>
        </w:rPr>
        <w:t>Drugs</w:t>
      </w:r>
      <w:r w:rsidR="009842C7" w:rsidRPr="009842C7">
        <w:rPr>
          <w:rFonts w:ascii="Times" w:hAnsi="Times"/>
          <w:b/>
          <w:bCs/>
        </w:rPr>
        <w:t xml:space="preserve"> and Their</w:t>
      </w:r>
      <w:r w:rsidRPr="009842C7">
        <w:rPr>
          <w:rFonts w:ascii="Times" w:hAnsi="Times"/>
          <w:b/>
          <w:bCs/>
        </w:rPr>
        <w:t xml:space="preserve"> Benefits</w:t>
      </w:r>
    </w:p>
    <w:p w14:paraId="71042503" w14:textId="282BDF12" w:rsidR="00A4671F" w:rsidRPr="00A4671F" w:rsidRDefault="005F00BB" w:rsidP="005F00BB">
      <w:pPr>
        <w:spacing w:line="480" w:lineRule="auto"/>
        <w:rPr>
          <w:rFonts w:ascii="Times" w:hAnsi="Times"/>
        </w:rPr>
      </w:pPr>
      <w:r>
        <w:rPr>
          <w:rFonts w:ascii="Times" w:hAnsi="Times"/>
        </w:rPr>
        <w:tab/>
        <w:t xml:space="preserve">There are two types of GnRH </w:t>
      </w:r>
      <w:r w:rsidR="00B47257">
        <w:rPr>
          <w:rFonts w:ascii="Times" w:hAnsi="Times"/>
        </w:rPr>
        <w:t>drugs</w:t>
      </w:r>
      <w:r>
        <w:rPr>
          <w:rFonts w:ascii="Times" w:hAnsi="Times"/>
        </w:rPr>
        <w:t xml:space="preserve"> for the treatments described previous: agonists and antagonists. These two classes of drugs can accomplish the same goal of suppressing the release of gonadotrophins leading to the ultimate inhibition of steroidogenesis of estrogen and testosterone. Some agonists utilized today are leuprolide, goserelin, triptorelin, and </w:t>
      </w:r>
      <w:proofErr w:type="spellStart"/>
      <w:r>
        <w:rPr>
          <w:rFonts w:ascii="Times" w:hAnsi="Times"/>
        </w:rPr>
        <w:t>histrelin</w:t>
      </w:r>
      <w:proofErr w:type="spellEnd"/>
      <w:r>
        <w:rPr>
          <w:rFonts w:ascii="Times" w:hAnsi="Times"/>
        </w:rPr>
        <w:t xml:space="preserve">. While antagonist currently used is </w:t>
      </w:r>
      <w:proofErr w:type="spellStart"/>
      <w:r>
        <w:rPr>
          <w:rFonts w:ascii="Times" w:hAnsi="Times"/>
        </w:rPr>
        <w:t>degarelix</w:t>
      </w:r>
      <w:proofErr w:type="spellEnd"/>
      <w:r>
        <w:rPr>
          <w:rFonts w:ascii="Times" w:hAnsi="Times"/>
        </w:rPr>
        <w:t xml:space="preserve">. Some of these </w:t>
      </w:r>
      <w:r w:rsidR="00B47257">
        <w:rPr>
          <w:rFonts w:ascii="Times" w:hAnsi="Times"/>
        </w:rPr>
        <w:t>drugs</w:t>
      </w:r>
      <w:r>
        <w:rPr>
          <w:rFonts w:ascii="Times" w:hAnsi="Times"/>
        </w:rPr>
        <w:t xml:space="preserve"> can have long-acting forms </w:t>
      </w:r>
      <w:r>
        <w:rPr>
          <w:rFonts w:ascii="Times" w:hAnsi="Times"/>
        </w:rPr>
        <w:lastRenderedPageBreak/>
        <w:t>available in one, three, six, and twelve-month administration intervals. The administration of these drugs all requires subcutaneous or intramuscular injections</w:t>
      </w:r>
      <w:r>
        <w:rPr>
          <w:rFonts w:ascii="Times" w:hAnsi="Times"/>
          <w:noProof/>
        </w:rPr>
        <w:t xml:space="preserve"> </w:t>
      </w:r>
      <w:r w:rsidRPr="00336E09">
        <w:rPr>
          <w:rFonts w:ascii="Times" w:hAnsi="Times"/>
          <w:noProof/>
        </w:rPr>
        <w:t>(LiverTox, 2018)</w:t>
      </w:r>
      <w:r>
        <w:rPr>
          <w:rFonts w:ascii="Times" w:hAnsi="Times"/>
        </w:rPr>
        <w:t>.</w:t>
      </w:r>
    </w:p>
    <w:p w14:paraId="56262092" w14:textId="3B0C9B02" w:rsidR="005F00BB" w:rsidRDefault="005F00BB" w:rsidP="005F00BB">
      <w:pPr>
        <w:spacing w:line="480" w:lineRule="auto"/>
        <w:rPr>
          <w:rFonts w:ascii="Times" w:hAnsi="Times"/>
        </w:rPr>
      </w:pPr>
      <w:r>
        <w:rPr>
          <w:rFonts w:ascii="Times" w:hAnsi="Times"/>
        </w:rPr>
        <w:tab/>
        <w:t>Agonists have a side effect that the antagonist counterpart lacks. Treatment with GnRH agonists can result in an initial surge of gonadotropins as there is lag time during the desensitization period of gonadotrophs</w:t>
      </w:r>
      <w:r>
        <w:rPr>
          <w:rFonts w:ascii="Times" w:hAnsi="Times"/>
          <w:noProof/>
        </w:rPr>
        <w:t xml:space="preserve"> </w:t>
      </w:r>
      <w:r w:rsidRPr="00336E09">
        <w:rPr>
          <w:rFonts w:ascii="Times" w:hAnsi="Times"/>
          <w:noProof/>
        </w:rPr>
        <w:t>(LiverTox, 2018)</w:t>
      </w:r>
      <w:r>
        <w:rPr>
          <w:rFonts w:ascii="Times" w:hAnsi="Times"/>
        </w:rPr>
        <w:t xml:space="preserve">. </w:t>
      </w:r>
      <w:r w:rsidR="00BF5915">
        <w:rPr>
          <w:rFonts w:ascii="Times" w:hAnsi="Times"/>
        </w:rPr>
        <w:t xml:space="preserve">Roberts and Carswell, 2021, </w:t>
      </w:r>
      <w:r w:rsidR="005A0646">
        <w:rPr>
          <w:rFonts w:ascii="Times" w:hAnsi="Times"/>
        </w:rPr>
        <w:t xml:space="preserve">Figure </w:t>
      </w:r>
      <w:r w:rsidR="00BF5915">
        <w:rPr>
          <w:rFonts w:ascii="Times" w:hAnsi="Times"/>
        </w:rPr>
        <w:t>2</w:t>
      </w:r>
      <w:r w:rsidR="005A0646">
        <w:rPr>
          <w:rFonts w:ascii="Times" w:hAnsi="Times"/>
        </w:rPr>
        <w:t xml:space="preserve"> shows this lag period over time when GnRH agonist treatments begin. </w:t>
      </w:r>
      <w:r>
        <w:rPr>
          <w:rFonts w:ascii="Times" w:hAnsi="Times"/>
        </w:rPr>
        <w:t>This can be led to negative side effects in the treatments of hormonal cancers. As this would stimulate further tumor growth, this growth can appear through a worsening of symptoms and lead to a negative effect on the long-term outcome of cancer treatments</w:t>
      </w:r>
      <w:sdt>
        <w:sdtPr>
          <w:rPr>
            <w:rFonts w:ascii="Times" w:hAnsi="Times"/>
          </w:rPr>
          <w:id w:val="-1685590416"/>
          <w:citation/>
        </w:sdtPr>
        <w:sdtContent>
          <w:r>
            <w:rPr>
              <w:rFonts w:ascii="Times" w:hAnsi="Times"/>
            </w:rPr>
            <w:fldChar w:fldCharType="begin"/>
          </w:r>
          <w:r>
            <w:rPr>
              <w:rFonts w:ascii="Times" w:hAnsi="Times"/>
            </w:rPr>
            <w:instrText xml:space="preserve"> CITATION van08 \l 1033 </w:instrText>
          </w:r>
          <w:r>
            <w:rPr>
              <w:rFonts w:ascii="Times" w:hAnsi="Times"/>
            </w:rPr>
            <w:fldChar w:fldCharType="separate"/>
          </w:r>
          <w:r>
            <w:rPr>
              <w:rFonts w:ascii="Times" w:hAnsi="Times"/>
              <w:noProof/>
            </w:rPr>
            <w:t xml:space="preserve"> </w:t>
          </w:r>
          <w:r w:rsidRPr="00336E09">
            <w:rPr>
              <w:rFonts w:ascii="Times" w:hAnsi="Times"/>
              <w:noProof/>
            </w:rPr>
            <w:t>(van Poppel &amp; Nilsson, 2008)</w:t>
          </w:r>
          <w:r>
            <w:rPr>
              <w:rFonts w:ascii="Times" w:hAnsi="Times"/>
            </w:rPr>
            <w:fldChar w:fldCharType="end"/>
          </w:r>
        </w:sdtContent>
      </w:sdt>
      <w:r>
        <w:rPr>
          <w:rFonts w:ascii="Times" w:hAnsi="Times"/>
        </w:rPr>
        <w:t>. Antagonists though do not suffer from the same adverse effect. Antagonists immediate suppress secretion of gonadotropins, and the end of the treatment can lead to faster recovery of gonadotropin secretion</w:t>
      </w:r>
      <w:sdt>
        <w:sdtPr>
          <w:rPr>
            <w:rFonts w:ascii="Times" w:hAnsi="Times"/>
          </w:rPr>
          <w:id w:val="2054888009"/>
          <w:citation/>
        </w:sdtPr>
        <w:sdtContent>
          <w:r>
            <w:rPr>
              <w:rFonts w:ascii="Times" w:hAnsi="Times"/>
            </w:rPr>
            <w:fldChar w:fldCharType="begin"/>
          </w:r>
          <w:r>
            <w:rPr>
              <w:rFonts w:ascii="Times" w:hAnsi="Times"/>
            </w:rPr>
            <w:instrText xml:space="preserve">CITATION Ort02 \t  \l 1033 </w:instrText>
          </w:r>
          <w:r>
            <w:rPr>
              <w:rFonts w:ascii="Times" w:hAnsi="Times"/>
            </w:rPr>
            <w:fldChar w:fldCharType="separate"/>
          </w:r>
          <w:r>
            <w:rPr>
              <w:rFonts w:ascii="Times" w:hAnsi="Times"/>
              <w:noProof/>
            </w:rPr>
            <w:t xml:space="preserve"> </w:t>
          </w:r>
          <w:r w:rsidRPr="00336E09">
            <w:rPr>
              <w:rFonts w:ascii="Times" w:hAnsi="Times"/>
              <w:noProof/>
            </w:rPr>
            <w:t>(Ortmann, Weiss, &amp; Diedrich, 2002)</w:t>
          </w:r>
          <w:r>
            <w:rPr>
              <w:rFonts w:ascii="Times" w:hAnsi="Times"/>
            </w:rPr>
            <w:fldChar w:fldCharType="end"/>
          </w:r>
        </w:sdtContent>
      </w:sdt>
      <w:r>
        <w:rPr>
          <w:rFonts w:ascii="Times" w:hAnsi="Times"/>
        </w:rPr>
        <w:t>.</w:t>
      </w:r>
    </w:p>
    <w:p w14:paraId="0FBC6C90" w14:textId="2A1E2F4A" w:rsidR="005F00BB" w:rsidRDefault="005F00BB" w:rsidP="005F00BB">
      <w:pPr>
        <w:spacing w:line="480" w:lineRule="auto"/>
        <w:rPr>
          <w:rFonts w:ascii="Times" w:hAnsi="Times"/>
          <w:noProof/>
        </w:rPr>
      </w:pPr>
      <w:r>
        <w:rPr>
          <w:rFonts w:ascii="Times" w:hAnsi="Times"/>
        </w:rPr>
        <w:tab/>
        <w:t>Both agonists and antagonist of GnRH have similar side effects on the patient. Common side effects include headaches, hot flashes, and injection-site reactions</w:t>
      </w:r>
      <w:r>
        <w:rPr>
          <w:rFonts w:ascii="Times" w:hAnsi="Times"/>
          <w:noProof/>
        </w:rPr>
        <w:t xml:space="preserve"> </w:t>
      </w:r>
      <w:r w:rsidRPr="00336E09">
        <w:rPr>
          <w:rFonts w:ascii="Times" w:hAnsi="Times"/>
          <w:noProof/>
        </w:rPr>
        <w:t>(Cheuiche</w:t>
      </w:r>
      <w:r>
        <w:rPr>
          <w:rFonts w:ascii="Times" w:hAnsi="Times"/>
          <w:noProof/>
        </w:rPr>
        <w:t xml:space="preserve"> et. al.</w:t>
      </w:r>
      <w:r w:rsidRPr="00336E09">
        <w:rPr>
          <w:rFonts w:ascii="Times" w:hAnsi="Times"/>
          <w:noProof/>
        </w:rPr>
        <w:t>, 2021)</w:t>
      </w:r>
      <w:r>
        <w:rPr>
          <w:rFonts w:ascii="Times" w:hAnsi="Times"/>
        </w:rPr>
        <w:t xml:space="preserve">. </w:t>
      </w:r>
      <w:proofErr w:type="spellStart"/>
      <w:r>
        <w:rPr>
          <w:rFonts w:ascii="Times" w:hAnsi="Times"/>
        </w:rPr>
        <w:t>Cheuiche</w:t>
      </w:r>
      <w:proofErr w:type="spellEnd"/>
      <w:r>
        <w:rPr>
          <w:rFonts w:ascii="Times" w:hAnsi="Times"/>
        </w:rPr>
        <w:t xml:space="preserve"> et. al. noted that patients being treated for precocious puberty could have a sterile abscess develop in rare instances, and vaginal bleeding was noted in girls with advanced pubertal development after the first injection (2021). As of 2021, negative influences of these drugs on reproductive potential or bone mineral density are not noted </w:t>
      </w:r>
      <w:r w:rsidRPr="00336E09">
        <w:rPr>
          <w:rFonts w:ascii="Times" w:hAnsi="Times"/>
          <w:noProof/>
        </w:rPr>
        <w:t>(Cheuiche</w:t>
      </w:r>
      <w:r>
        <w:rPr>
          <w:rFonts w:ascii="Times" w:hAnsi="Times"/>
          <w:noProof/>
        </w:rPr>
        <w:t xml:space="preserve"> et. al.</w:t>
      </w:r>
      <w:r w:rsidRPr="00336E09">
        <w:rPr>
          <w:rFonts w:ascii="Times" w:hAnsi="Times"/>
          <w:noProof/>
        </w:rPr>
        <w:t>, 2021)</w:t>
      </w:r>
      <w:r>
        <w:rPr>
          <w:rFonts w:ascii="Times" w:hAnsi="Times"/>
          <w:noProof/>
        </w:rPr>
        <w:t>. For transgender individuals, risks associated with this treatment include mood swings and emotional lability. It was also noted that different changes occurred to transmen</w:t>
      </w:r>
      <w:r w:rsidR="005C02DC">
        <w:rPr>
          <w:rFonts w:ascii="Times" w:hAnsi="Times"/>
          <w:noProof/>
        </w:rPr>
        <w:t>s’</w:t>
      </w:r>
      <w:r>
        <w:rPr>
          <w:rFonts w:ascii="Times" w:hAnsi="Times"/>
          <w:noProof/>
        </w:rPr>
        <w:t xml:space="preserve"> and transwomens</w:t>
      </w:r>
      <w:r w:rsidR="005C02DC">
        <w:rPr>
          <w:rFonts w:ascii="Times" w:hAnsi="Times"/>
          <w:noProof/>
        </w:rPr>
        <w:t>’</w:t>
      </w:r>
      <w:r>
        <w:rPr>
          <w:rFonts w:ascii="Times" w:hAnsi="Times"/>
          <w:noProof/>
        </w:rPr>
        <w:t xml:space="preserve"> bodies. Transwomen saw an increase in body fat, and transmen saw the opposite when compared with cisgender peers. Other adverse affects for these individuals included slow growth, decreases in lean body mass index, increased fat, decreased height velocity, and decreased bone turnover </w:t>
      </w:r>
      <w:r>
        <w:rPr>
          <w:rFonts w:ascii="Times" w:hAnsi="Times"/>
          <w:noProof/>
        </w:rPr>
        <w:lastRenderedPageBreak/>
        <w:t xml:space="preserve">markers </w:t>
      </w:r>
      <w:sdt>
        <w:sdtPr>
          <w:rPr>
            <w:rFonts w:ascii="Times" w:hAnsi="Times"/>
            <w:noProof/>
          </w:rPr>
          <w:id w:val="-69277578"/>
          <w:citation/>
        </w:sdtPr>
        <w:sdtContent>
          <w:r>
            <w:rPr>
              <w:rFonts w:ascii="Times" w:hAnsi="Times"/>
              <w:noProof/>
            </w:rPr>
            <w:fldChar w:fldCharType="begin"/>
          </w:r>
          <w:r>
            <w:rPr>
              <w:rFonts w:ascii="Times" w:hAnsi="Times"/>
              <w:noProof/>
            </w:rPr>
            <w:instrText xml:space="preserve"> CITATION Rew21 \l 1033 </w:instrText>
          </w:r>
          <w:r>
            <w:rPr>
              <w:rFonts w:ascii="Times" w:hAnsi="Times"/>
              <w:noProof/>
            </w:rPr>
            <w:fldChar w:fldCharType="separate"/>
          </w:r>
          <w:r w:rsidRPr="00336E09">
            <w:rPr>
              <w:rFonts w:ascii="Times" w:hAnsi="Times"/>
              <w:noProof/>
            </w:rPr>
            <w:t>(Rew, Young, Monge, &amp; Bogucka, 2021)</w:t>
          </w:r>
          <w:r>
            <w:rPr>
              <w:rFonts w:ascii="Times" w:hAnsi="Times"/>
              <w:noProof/>
            </w:rPr>
            <w:fldChar w:fldCharType="end"/>
          </w:r>
        </w:sdtContent>
      </w:sdt>
      <w:r>
        <w:rPr>
          <w:rFonts w:ascii="Times" w:hAnsi="Times"/>
          <w:noProof/>
        </w:rPr>
        <w:t xml:space="preserve">. Some other common side effects noted with GnRH </w:t>
      </w:r>
      <w:r w:rsidR="00B47257">
        <w:rPr>
          <w:rFonts w:ascii="Times" w:hAnsi="Times"/>
          <w:noProof/>
        </w:rPr>
        <w:t>drugs</w:t>
      </w:r>
      <w:r>
        <w:rPr>
          <w:rFonts w:ascii="Times" w:hAnsi="Times"/>
          <w:noProof/>
        </w:rPr>
        <w:t xml:space="preserve"> include fluid retenion, gynecomastia, erectile dysfunction, and decreased libido. Long term therapy has seen side effects relating metabolic abnormalities, worsening diabetes, and worsening osteoporosis </w:t>
      </w:r>
      <w:r w:rsidRPr="00336E09">
        <w:rPr>
          <w:rFonts w:ascii="Times" w:hAnsi="Times"/>
          <w:noProof/>
        </w:rPr>
        <w:t>(LiverTox, 2018)</w:t>
      </w:r>
      <w:r>
        <w:rPr>
          <w:rFonts w:ascii="Times" w:hAnsi="Times"/>
          <w:noProof/>
        </w:rPr>
        <w:t>.</w:t>
      </w:r>
    </w:p>
    <w:p w14:paraId="4A9D9CE4" w14:textId="77777777" w:rsidR="005F00BB" w:rsidRDefault="005F00BB" w:rsidP="005F00BB">
      <w:pPr>
        <w:spacing w:line="480" w:lineRule="auto"/>
        <w:rPr>
          <w:rFonts w:ascii="Times" w:hAnsi="Times"/>
          <w:noProof/>
        </w:rPr>
      </w:pPr>
      <w:r>
        <w:rPr>
          <w:rFonts w:ascii="Times" w:hAnsi="Times"/>
          <w:noProof/>
        </w:rPr>
        <w:tab/>
      </w:r>
    </w:p>
    <w:p w14:paraId="1B98A2BC" w14:textId="13210A13" w:rsidR="005F00BB" w:rsidRPr="00A94F8A" w:rsidRDefault="005F00BB" w:rsidP="005F00BB">
      <w:pPr>
        <w:spacing w:line="480" w:lineRule="auto"/>
        <w:rPr>
          <w:rFonts w:ascii="Times" w:hAnsi="Times"/>
          <w:b/>
          <w:bCs/>
          <w:noProof/>
        </w:rPr>
      </w:pPr>
      <w:r w:rsidRPr="00A94F8A">
        <w:rPr>
          <w:rFonts w:ascii="Times" w:hAnsi="Times"/>
          <w:b/>
          <w:bCs/>
          <w:noProof/>
        </w:rPr>
        <w:t>Topics of Future Research</w:t>
      </w:r>
    </w:p>
    <w:p w14:paraId="49A7B9D9" w14:textId="5D704E90" w:rsidR="005F00BB" w:rsidRDefault="005F00BB" w:rsidP="005F00BB">
      <w:pPr>
        <w:spacing w:line="480" w:lineRule="auto"/>
        <w:rPr>
          <w:rFonts w:ascii="Times" w:hAnsi="Times"/>
          <w:noProof/>
        </w:rPr>
      </w:pPr>
      <w:r>
        <w:rPr>
          <w:rFonts w:ascii="Times" w:hAnsi="Times"/>
          <w:noProof/>
        </w:rPr>
        <w:tab/>
        <w:t xml:space="preserve">Regarding GnRH and related </w:t>
      </w:r>
      <w:r w:rsidR="00B47257">
        <w:rPr>
          <w:rFonts w:ascii="Times" w:hAnsi="Times"/>
          <w:noProof/>
        </w:rPr>
        <w:t>drugs</w:t>
      </w:r>
      <w:r>
        <w:rPr>
          <w:rFonts w:ascii="Times" w:hAnsi="Times"/>
          <w:noProof/>
        </w:rPr>
        <w:t xml:space="preserve">, there are </w:t>
      </w:r>
      <w:r w:rsidR="009842C7">
        <w:rPr>
          <w:rFonts w:ascii="Times" w:hAnsi="Times"/>
          <w:noProof/>
        </w:rPr>
        <w:t>several</w:t>
      </w:r>
      <w:r>
        <w:rPr>
          <w:rFonts w:ascii="Times" w:hAnsi="Times"/>
          <w:noProof/>
        </w:rPr>
        <w:t xml:space="preserve"> topics that need</w:t>
      </w:r>
      <w:r w:rsidR="009842C7">
        <w:rPr>
          <w:rFonts w:ascii="Times" w:hAnsi="Times"/>
          <w:noProof/>
        </w:rPr>
        <w:t xml:space="preserve"> more</w:t>
      </w:r>
      <w:r>
        <w:rPr>
          <w:rFonts w:ascii="Times" w:hAnsi="Times"/>
          <w:noProof/>
        </w:rPr>
        <w:t xml:space="preserve"> research. </w:t>
      </w:r>
      <w:r w:rsidR="009842C7">
        <w:rPr>
          <w:rFonts w:ascii="Times" w:hAnsi="Times"/>
          <w:noProof/>
        </w:rPr>
        <w:t>For example,</w:t>
      </w:r>
      <w:r>
        <w:rPr>
          <w:rFonts w:ascii="Times" w:hAnsi="Times"/>
          <w:noProof/>
        </w:rPr>
        <w:t xml:space="preserve"> the mechanisms that lead to the initiation of GnRH secretion as well as physiology behind the timing of puberty</w:t>
      </w:r>
      <w:r w:rsidR="009842C7">
        <w:rPr>
          <w:rFonts w:ascii="Times" w:hAnsi="Times"/>
          <w:noProof/>
        </w:rPr>
        <w:t xml:space="preserve"> is poorly understood</w:t>
      </w:r>
      <w:r>
        <w:rPr>
          <w:rFonts w:ascii="Times" w:hAnsi="Times"/>
          <w:noProof/>
        </w:rPr>
        <w:t>.</w:t>
      </w:r>
      <w:r w:rsidR="009842C7">
        <w:rPr>
          <w:rFonts w:ascii="Times" w:hAnsi="Times"/>
          <w:noProof/>
        </w:rPr>
        <w:t xml:space="preserve"> Also, the properties of</w:t>
      </w:r>
      <w:r>
        <w:rPr>
          <w:rFonts w:ascii="Times" w:hAnsi="Times"/>
          <w:noProof/>
        </w:rPr>
        <w:t xml:space="preserve"> </w:t>
      </w:r>
      <w:r w:rsidR="00B47257">
        <w:rPr>
          <w:rFonts w:ascii="Times" w:hAnsi="Times"/>
          <w:noProof/>
        </w:rPr>
        <w:t>drugs</w:t>
      </w:r>
      <w:r w:rsidR="009842C7">
        <w:rPr>
          <w:rFonts w:ascii="Times" w:hAnsi="Times"/>
          <w:noProof/>
        </w:rPr>
        <w:t xml:space="preserve"> used</w:t>
      </w:r>
      <w:r>
        <w:rPr>
          <w:rFonts w:ascii="Times" w:hAnsi="Times"/>
          <w:noProof/>
        </w:rPr>
        <w:t xml:space="preserve"> require more research as many of the conditions treated with them only require short-term use, but there has been a rise in the long-term use of </w:t>
      </w:r>
      <w:r w:rsidR="00B47257">
        <w:rPr>
          <w:rFonts w:ascii="Times" w:hAnsi="Times"/>
          <w:noProof/>
        </w:rPr>
        <w:t>drugs</w:t>
      </w:r>
      <w:r>
        <w:rPr>
          <w:rFonts w:ascii="Times" w:hAnsi="Times"/>
          <w:noProof/>
        </w:rPr>
        <w:t xml:space="preserve"> for the treatment of gender dysphoria. For example, Roberts and Carswell</w:t>
      </w:r>
      <w:r w:rsidR="009842C7">
        <w:rPr>
          <w:rFonts w:ascii="Times" w:hAnsi="Times"/>
          <w:noProof/>
        </w:rPr>
        <w:t xml:space="preserve"> (2021) reported</w:t>
      </w:r>
      <w:r>
        <w:rPr>
          <w:rFonts w:ascii="Times" w:hAnsi="Times"/>
          <w:noProof/>
        </w:rPr>
        <w:t xml:space="preserve"> inconclusive findings on the side effects of long term treatment on </w:t>
      </w:r>
      <w:r w:rsidR="009842C7">
        <w:rPr>
          <w:rFonts w:ascii="Times" w:hAnsi="Times"/>
          <w:noProof/>
        </w:rPr>
        <w:t xml:space="preserve">the </w:t>
      </w:r>
      <w:r>
        <w:rPr>
          <w:rFonts w:ascii="Times" w:hAnsi="Times"/>
          <w:noProof/>
        </w:rPr>
        <w:t>growth, growth potential, and on adult height in transgender and gender-diverse population</w:t>
      </w:r>
      <w:r w:rsidR="009842C7">
        <w:rPr>
          <w:rFonts w:ascii="Times" w:hAnsi="Times"/>
          <w:noProof/>
        </w:rPr>
        <w:t>.</w:t>
      </w:r>
    </w:p>
    <w:p w14:paraId="42919279" w14:textId="77777777" w:rsidR="005F00BB" w:rsidRDefault="005F00BB" w:rsidP="005F00BB">
      <w:pPr>
        <w:spacing w:line="480" w:lineRule="auto"/>
        <w:rPr>
          <w:rFonts w:ascii="Times" w:hAnsi="Times"/>
          <w:noProof/>
        </w:rPr>
      </w:pPr>
    </w:p>
    <w:p w14:paraId="65AD0139" w14:textId="7863437D" w:rsidR="005F00BB" w:rsidRPr="00A94F8A" w:rsidRDefault="005F00BB" w:rsidP="005F00BB">
      <w:pPr>
        <w:spacing w:line="480" w:lineRule="auto"/>
        <w:rPr>
          <w:rFonts w:ascii="Times" w:hAnsi="Times"/>
          <w:b/>
          <w:bCs/>
          <w:noProof/>
        </w:rPr>
      </w:pPr>
      <w:r w:rsidRPr="00A94F8A">
        <w:rPr>
          <w:rFonts w:ascii="Times" w:hAnsi="Times"/>
          <w:b/>
          <w:bCs/>
          <w:noProof/>
        </w:rPr>
        <w:t>Conclusion</w:t>
      </w:r>
    </w:p>
    <w:p w14:paraId="70627AB6" w14:textId="3DDD9328" w:rsidR="005F00BB" w:rsidRDefault="00CA348F" w:rsidP="00005CDE">
      <w:pPr>
        <w:spacing w:line="480" w:lineRule="auto"/>
        <w:ind w:firstLine="720"/>
        <w:rPr>
          <w:rFonts w:ascii="Times" w:hAnsi="Times"/>
        </w:rPr>
      </w:pPr>
      <w:r>
        <w:rPr>
          <w:rFonts w:ascii="Times" w:hAnsi="Times"/>
        </w:rPr>
        <w:t xml:space="preserve">GnRH </w:t>
      </w:r>
      <w:r w:rsidR="009842C7">
        <w:rPr>
          <w:rFonts w:ascii="Times" w:hAnsi="Times"/>
        </w:rPr>
        <w:t>simulates the secretion</w:t>
      </w:r>
      <w:r>
        <w:rPr>
          <w:rFonts w:ascii="Times" w:hAnsi="Times"/>
        </w:rPr>
        <w:t xml:space="preserve"> of FSH and LH which in turn control the synthesis and secretion of sex steroids within the gonads of the reproductive systems. </w:t>
      </w:r>
      <w:r w:rsidR="009842C7">
        <w:rPr>
          <w:rFonts w:ascii="Times" w:hAnsi="Times"/>
        </w:rPr>
        <w:t>Some pathological conditions can be treated through</w:t>
      </w:r>
      <w:r w:rsidR="00A94F8A">
        <w:rPr>
          <w:rFonts w:ascii="Times" w:hAnsi="Times"/>
        </w:rPr>
        <w:t xml:space="preserve"> manipulating the secretion of sex steroids</w:t>
      </w:r>
      <w:r>
        <w:rPr>
          <w:rFonts w:ascii="Times" w:hAnsi="Times"/>
        </w:rPr>
        <w:t>. These conditions include cancer effected by sex steroids, precocious puberty, gender dysphoria, and infertility. Treatments for these conditions are done through the modulat</w:t>
      </w:r>
      <w:r w:rsidR="00A94F8A">
        <w:rPr>
          <w:rFonts w:ascii="Times" w:hAnsi="Times"/>
        </w:rPr>
        <w:t>ing the</w:t>
      </w:r>
      <w:r>
        <w:rPr>
          <w:rFonts w:ascii="Times" w:hAnsi="Times"/>
        </w:rPr>
        <w:t xml:space="preserve"> gonadotropin release hormone’s </w:t>
      </w:r>
      <w:r w:rsidR="00A94F8A">
        <w:rPr>
          <w:rFonts w:ascii="Times" w:hAnsi="Times"/>
        </w:rPr>
        <w:t xml:space="preserve">effect </w:t>
      </w:r>
      <w:r w:rsidR="00C061EB">
        <w:rPr>
          <w:rFonts w:ascii="Times" w:hAnsi="Times"/>
        </w:rPr>
        <w:t xml:space="preserve">by </w:t>
      </w:r>
      <w:r w:rsidR="00A94F8A">
        <w:rPr>
          <w:rFonts w:ascii="Times" w:hAnsi="Times"/>
        </w:rPr>
        <w:t xml:space="preserve">its </w:t>
      </w:r>
      <w:r w:rsidR="00C061EB">
        <w:rPr>
          <w:rFonts w:ascii="Times" w:hAnsi="Times"/>
        </w:rPr>
        <w:t>agonists and antagonists.</w:t>
      </w:r>
      <w:r w:rsidR="005F00BB">
        <w:rPr>
          <w:rFonts w:ascii="Times" w:hAnsi="Times"/>
          <w:noProof/>
        </w:rPr>
        <w:br w:type="page"/>
      </w:r>
    </w:p>
    <w:p w14:paraId="6B17CCCF" w14:textId="524C330C" w:rsidR="005F00BB" w:rsidRPr="00336E09" w:rsidRDefault="005F00BB" w:rsidP="0037267B">
      <w:pPr>
        <w:spacing w:line="480" w:lineRule="auto"/>
        <w:jc w:val="center"/>
        <w:rPr>
          <w:b/>
          <w:bCs/>
          <w:i/>
          <w:iCs/>
        </w:rPr>
      </w:pPr>
      <w:r w:rsidRPr="00336E09">
        <w:rPr>
          <w:b/>
          <w:bCs/>
          <w:i/>
          <w:iCs/>
        </w:rPr>
        <w:lastRenderedPageBreak/>
        <w:t>References</w:t>
      </w:r>
    </w:p>
    <w:sdt>
      <w:sdtPr>
        <w:id w:val="-1529178173"/>
        <w:bibliography/>
      </w:sdtPr>
      <w:sdtEndPr>
        <w:rPr>
          <w:rFonts w:ascii="Times New Roman" w:hAnsi="Times New Roman" w:cs="Times New Roman"/>
        </w:rPr>
      </w:sdtEndPr>
      <w:sdtContent>
        <w:p w14:paraId="326707C0"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rPr>
            <w:fldChar w:fldCharType="begin"/>
          </w:r>
          <w:r w:rsidRPr="0037267B">
            <w:rPr>
              <w:rFonts w:ascii="Times New Roman" w:hAnsi="Times New Roman" w:cs="Times New Roman"/>
            </w:rPr>
            <w:instrText xml:space="preserve"> BIBLIOGRAPHY </w:instrText>
          </w:r>
          <w:r w:rsidRPr="0037267B">
            <w:rPr>
              <w:rFonts w:ascii="Times New Roman" w:hAnsi="Times New Roman" w:cs="Times New Roman"/>
            </w:rPr>
            <w:fldChar w:fldCharType="separate"/>
          </w:r>
          <w:r w:rsidRPr="0037267B">
            <w:rPr>
              <w:rFonts w:ascii="Times New Roman" w:hAnsi="Times New Roman" w:cs="Times New Roman"/>
              <w:noProof/>
            </w:rPr>
            <w:t xml:space="preserve">Atkinson, S. R., &amp; Russell, D. (2015). Gender Dysphoria. </w:t>
          </w:r>
          <w:r w:rsidRPr="0037267B">
            <w:rPr>
              <w:rFonts w:ascii="Times New Roman" w:hAnsi="Times New Roman" w:cs="Times New Roman"/>
              <w:i/>
              <w:iCs/>
              <w:noProof/>
            </w:rPr>
            <w:t>Austrialian Family Physician, 44</w:t>
          </w:r>
          <w:r w:rsidRPr="0037267B">
            <w:rPr>
              <w:rFonts w:ascii="Times New Roman" w:hAnsi="Times New Roman" w:cs="Times New Roman"/>
              <w:noProof/>
            </w:rPr>
            <w:t>(11), 792-796.</w:t>
          </w:r>
        </w:p>
        <w:p w14:paraId="35A119CE"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de Ziegler, D., Borghese, B., &amp; Chapron, C. (2010). Endometriosis and Infertility: Pathophysiology and Management. </w:t>
          </w:r>
          <w:r w:rsidRPr="0037267B">
            <w:rPr>
              <w:rFonts w:ascii="Times New Roman" w:hAnsi="Times New Roman" w:cs="Times New Roman"/>
              <w:i/>
              <w:iCs/>
              <w:noProof/>
            </w:rPr>
            <w:t>The Lancet, 376</w:t>
          </w:r>
          <w:r w:rsidRPr="0037267B">
            <w:rPr>
              <w:rFonts w:ascii="Times New Roman" w:hAnsi="Times New Roman" w:cs="Times New Roman"/>
              <w:noProof/>
            </w:rPr>
            <w:t>, 730-738.</w:t>
          </w:r>
        </w:p>
        <w:p w14:paraId="0067D180"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Herbson, A. E. (2016, August). Control of Puberty Onset and Fertility by Gonadotropin-releasing Hormone Neurons. </w:t>
          </w:r>
          <w:r w:rsidRPr="0037267B">
            <w:rPr>
              <w:rFonts w:ascii="Times New Roman" w:hAnsi="Times New Roman" w:cs="Times New Roman"/>
              <w:i/>
              <w:iCs/>
              <w:noProof/>
            </w:rPr>
            <w:t>Natures Review Endocrinology, 12</w:t>
          </w:r>
          <w:r w:rsidRPr="0037267B">
            <w:rPr>
              <w:rFonts w:ascii="Times New Roman" w:hAnsi="Times New Roman" w:cs="Times New Roman"/>
              <w:noProof/>
            </w:rPr>
            <w:t>, 452-466.</w:t>
          </w:r>
        </w:p>
        <w:p w14:paraId="29DCD0ED"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Kahnamouyi, S., Nouri, M., Farzadi, L., &amp; Darabi, M. (2018, May 7). The role of mitogen-activated protein kinase-extracellular receptor kinase pathway in female fertility outcomes: a focus on pituitary gonadotrophins regulation. </w:t>
          </w:r>
          <w:r w:rsidRPr="0037267B">
            <w:rPr>
              <w:rFonts w:ascii="Times New Roman" w:hAnsi="Times New Roman" w:cs="Times New Roman"/>
              <w:i/>
              <w:iCs/>
              <w:noProof/>
            </w:rPr>
            <w:t>Therapeutic Advances in Endocrinology and Metabolism, 9</w:t>
          </w:r>
          <w:r w:rsidRPr="0037267B">
            <w:rPr>
              <w:rFonts w:ascii="Times New Roman" w:hAnsi="Times New Roman" w:cs="Times New Roman"/>
              <w:noProof/>
            </w:rPr>
            <w:t>.</w:t>
          </w:r>
        </w:p>
        <w:p w14:paraId="1747DB22"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Khan, L. (2019). Puberty: Onset and Progression. </w:t>
          </w:r>
          <w:r w:rsidRPr="0037267B">
            <w:rPr>
              <w:rFonts w:ascii="Times New Roman" w:hAnsi="Times New Roman" w:cs="Times New Roman"/>
              <w:i/>
              <w:iCs/>
              <w:noProof/>
            </w:rPr>
            <w:t>Pediatric Annals, 48</w:t>
          </w:r>
          <w:r w:rsidRPr="0037267B">
            <w:rPr>
              <w:rFonts w:ascii="Times New Roman" w:hAnsi="Times New Roman" w:cs="Times New Roman"/>
              <w:noProof/>
            </w:rPr>
            <w:t>(4), e141-e145.</w:t>
          </w:r>
        </w:p>
        <w:p w14:paraId="3AAE70B5"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Ortmann, O., &amp; Diedrich, K. (1999). Pituitary and Extrapituitary Actions of Gonadotrophin-releasing Hormone and its analogues. </w:t>
          </w:r>
          <w:r w:rsidRPr="0037267B">
            <w:rPr>
              <w:rFonts w:ascii="Times New Roman" w:hAnsi="Times New Roman" w:cs="Times New Roman"/>
              <w:i/>
              <w:iCs/>
              <w:noProof/>
            </w:rPr>
            <w:t>Human Reproduction, 14</w:t>
          </w:r>
          <w:r w:rsidRPr="0037267B">
            <w:rPr>
              <w:rFonts w:ascii="Times New Roman" w:hAnsi="Times New Roman" w:cs="Times New Roman"/>
              <w:noProof/>
            </w:rPr>
            <w:t>, 194-206.</w:t>
          </w:r>
        </w:p>
        <w:p w14:paraId="5126A2EC"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Ortmann, O., Weiss, J., &amp; Diedrich, K. (2002, August 21). Gonadotrophin-releasing Hormone (GnRH) and GnRH agonist: Mechanisms of Action. </w:t>
          </w:r>
          <w:r w:rsidRPr="0037267B">
            <w:rPr>
              <w:rFonts w:ascii="Times New Roman" w:hAnsi="Times New Roman" w:cs="Times New Roman"/>
              <w:i/>
              <w:iCs/>
              <w:noProof/>
            </w:rPr>
            <w:t>Reproductive BioMedicine Online</w:t>
          </w:r>
          <w:r w:rsidRPr="0037267B">
            <w:rPr>
              <w:rFonts w:ascii="Times New Roman" w:hAnsi="Times New Roman" w:cs="Times New Roman"/>
              <w:noProof/>
            </w:rPr>
            <w:t>, 1-7.</w:t>
          </w:r>
        </w:p>
        <w:p w14:paraId="52452966"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Rew, L., Young, C. C., Monge, M., &amp; Bogucka, R. (2021). Review: Puberty Blockers for Transgender and Gender Diverse Youth - A Critical Review of the Literature. </w:t>
          </w:r>
          <w:r w:rsidRPr="0037267B">
            <w:rPr>
              <w:rFonts w:ascii="Times New Roman" w:hAnsi="Times New Roman" w:cs="Times New Roman"/>
              <w:i/>
              <w:iCs/>
              <w:noProof/>
            </w:rPr>
            <w:t>Child and Adolescent Mental Health, 26</w:t>
          </w:r>
          <w:r w:rsidRPr="0037267B">
            <w:rPr>
              <w:rFonts w:ascii="Times New Roman" w:hAnsi="Times New Roman" w:cs="Times New Roman"/>
              <w:noProof/>
            </w:rPr>
            <w:t>(1), 3-14.</w:t>
          </w:r>
        </w:p>
        <w:p w14:paraId="42521CF3"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Roberts, S. A., &amp; Carswell, J. M. (2021, May 3). Growth, Growth potential, and influences on adult height in the transgender and gender-diverse population. </w:t>
          </w:r>
          <w:r w:rsidRPr="0037267B">
            <w:rPr>
              <w:rFonts w:ascii="Times New Roman" w:hAnsi="Times New Roman" w:cs="Times New Roman"/>
              <w:i/>
              <w:iCs/>
              <w:noProof/>
            </w:rPr>
            <w:t>Andrology</w:t>
          </w:r>
          <w:r w:rsidRPr="0037267B">
            <w:rPr>
              <w:rFonts w:ascii="Times New Roman" w:hAnsi="Times New Roman" w:cs="Times New Roman"/>
              <w:noProof/>
            </w:rPr>
            <w:t>, 1679-1688.</w:t>
          </w:r>
        </w:p>
        <w:p w14:paraId="632D6985" w14:textId="54CE6FFF"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lastRenderedPageBreak/>
            <w:t xml:space="preserve">Robertson, J. F., &amp; Blamey, R. W. (2003). The use of gonadotrophin-releasing hormone (GnRH) agonists in early and advanced breast cancers in pre- and perimenopausal women. </w:t>
          </w:r>
          <w:r w:rsidRPr="0037267B">
            <w:rPr>
              <w:rFonts w:ascii="Times New Roman" w:hAnsi="Times New Roman" w:cs="Times New Roman"/>
              <w:i/>
              <w:iCs/>
              <w:noProof/>
            </w:rPr>
            <w:t>European Journal of Cancer, 39</w:t>
          </w:r>
          <w:r w:rsidRPr="0037267B">
            <w:rPr>
              <w:rFonts w:ascii="Times New Roman" w:hAnsi="Times New Roman" w:cs="Times New Roman"/>
              <w:noProof/>
            </w:rPr>
            <w:t>, 861-869.</w:t>
          </w:r>
        </w:p>
        <w:p w14:paraId="60360BF3"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Spaziani, M., Tarantino, C., Tahani, N., Gianfrilli, D., Sbardella, E., Lenzi, A., &amp; Radicioni, A. F. (2021, January ). Hypothalamo-Pituitary Axis and Puberty. </w:t>
          </w:r>
          <w:r w:rsidRPr="0037267B">
            <w:rPr>
              <w:rFonts w:ascii="Times New Roman" w:hAnsi="Times New Roman" w:cs="Times New Roman"/>
              <w:i/>
              <w:iCs/>
              <w:noProof/>
            </w:rPr>
            <w:t>Molecular and Cellular Endocrinology, 520</w:t>
          </w:r>
          <w:r w:rsidRPr="0037267B">
            <w:rPr>
              <w:rFonts w:ascii="Times New Roman" w:hAnsi="Times New Roman" w:cs="Times New Roman"/>
              <w:noProof/>
            </w:rPr>
            <w:t>, 111094.</w:t>
          </w:r>
        </w:p>
        <w:p w14:paraId="1475540E"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Temming, M. (2021, August 26). </w:t>
          </w:r>
          <w:r w:rsidRPr="0037267B">
            <w:rPr>
              <w:rFonts w:ascii="Times New Roman" w:hAnsi="Times New Roman" w:cs="Times New Roman"/>
              <w:i/>
              <w:iCs/>
              <w:noProof/>
            </w:rPr>
            <w:t>Gender-affirming care improves mental health for transgender youth</w:t>
          </w:r>
          <w:r w:rsidRPr="0037267B">
            <w:rPr>
              <w:rFonts w:ascii="Times New Roman" w:hAnsi="Times New Roman" w:cs="Times New Roman"/>
              <w:noProof/>
            </w:rPr>
            <w:t>. Retrieved from Science News: https://www.sciencenews.org/article/transgender-youth-mental-health-gender-affirming-care-laws</w:t>
          </w:r>
        </w:p>
        <w:p w14:paraId="74264A57"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Terasawa, E. (2019). Mechanism of Pulsatile GnRH Release in Primates: Unresolved Questions. </w:t>
          </w:r>
          <w:r w:rsidRPr="0037267B">
            <w:rPr>
              <w:rFonts w:ascii="Times New Roman" w:hAnsi="Times New Roman" w:cs="Times New Roman"/>
              <w:i/>
              <w:iCs/>
              <w:noProof/>
            </w:rPr>
            <w:t>Molecular and Cellular Endocrinology, 498</w:t>
          </w:r>
          <w:r w:rsidRPr="0037267B">
            <w:rPr>
              <w:rFonts w:ascii="Times New Roman" w:hAnsi="Times New Roman" w:cs="Times New Roman"/>
              <w:noProof/>
            </w:rPr>
            <w:t>, 110578.</w:t>
          </w:r>
        </w:p>
        <w:p w14:paraId="7BFEE0B7"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van der Meisen, A. I., Steensma, T. D., de Vries, A. L., Bos, H., &amp; Popma, A. (2020). Physchological Functioning in Transgender Adolescents Before and After Gender-Affirming Care Compared with Cisgender General Population Peers. </w:t>
          </w:r>
          <w:r w:rsidRPr="0037267B">
            <w:rPr>
              <w:rFonts w:ascii="Times New Roman" w:hAnsi="Times New Roman" w:cs="Times New Roman"/>
              <w:i/>
              <w:iCs/>
              <w:noProof/>
            </w:rPr>
            <w:t>Journal of Adolescent Health, 66</w:t>
          </w:r>
          <w:r w:rsidRPr="0037267B">
            <w:rPr>
              <w:rFonts w:ascii="Times New Roman" w:hAnsi="Times New Roman" w:cs="Times New Roman"/>
              <w:noProof/>
            </w:rPr>
            <w:t>, 699-704.</w:t>
          </w:r>
        </w:p>
        <w:p w14:paraId="7BFFC915"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van Poppel, H., &amp; Nilsson, S. (2008). Testosterone Surge: Rationale for Gonadotropin-Releasing Hormone Blockers? </w:t>
          </w:r>
          <w:r w:rsidRPr="0037267B">
            <w:rPr>
              <w:rFonts w:ascii="Times New Roman" w:hAnsi="Times New Roman" w:cs="Times New Roman"/>
              <w:i/>
              <w:iCs/>
              <w:noProof/>
            </w:rPr>
            <w:t>UROLOGY, 71</w:t>
          </w:r>
          <w:r w:rsidRPr="0037267B">
            <w:rPr>
              <w:rFonts w:ascii="Times New Roman" w:hAnsi="Times New Roman" w:cs="Times New Roman"/>
              <w:noProof/>
            </w:rPr>
            <w:t>(6), 1001-1006.</w:t>
          </w:r>
        </w:p>
        <w:p w14:paraId="1ED22D88" w14:textId="77777777" w:rsidR="0037267B" w:rsidRPr="0037267B" w:rsidRDefault="0037267B" w:rsidP="0037267B">
          <w:pPr>
            <w:pStyle w:val="Bibliography"/>
            <w:spacing w:line="480" w:lineRule="auto"/>
            <w:ind w:left="720" w:hanging="720"/>
            <w:rPr>
              <w:rFonts w:ascii="Times New Roman" w:hAnsi="Times New Roman" w:cs="Times New Roman"/>
              <w:noProof/>
            </w:rPr>
          </w:pPr>
          <w:r w:rsidRPr="0037267B">
            <w:rPr>
              <w:rFonts w:ascii="Times New Roman" w:hAnsi="Times New Roman" w:cs="Times New Roman"/>
              <w:noProof/>
            </w:rPr>
            <w:t xml:space="preserve">Wood, C. L., Lane, L. C., &amp; Cheetham, T. (2019, March 30). Puberty: Normal Physiology (brief overview). </w:t>
          </w:r>
          <w:r w:rsidRPr="0037267B">
            <w:rPr>
              <w:rFonts w:ascii="Times New Roman" w:hAnsi="Times New Roman" w:cs="Times New Roman"/>
              <w:i/>
              <w:iCs/>
              <w:noProof/>
            </w:rPr>
            <w:t>Best Practive and Research Clinical Endocrinology &amp; Metabolism, 33</w:t>
          </w:r>
          <w:r w:rsidRPr="0037267B">
            <w:rPr>
              <w:rFonts w:ascii="Times New Roman" w:hAnsi="Times New Roman" w:cs="Times New Roman"/>
              <w:noProof/>
            </w:rPr>
            <w:t>, 101265.</w:t>
          </w:r>
        </w:p>
        <w:p w14:paraId="787ACF0F" w14:textId="1C4C0522" w:rsidR="0037267B" w:rsidRPr="0037267B" w:rsidRDefault="0037267B" w:rsidP="0037267B">
          <w:pPr>
            <w:spacing w:line="480" w:lineRule="auto"/>
            <w:rPr>
              <w:rFonts w:ascii="Times New Roman" w:hAnsi="Times New Roman" w:cs="Times New Roman"/>
            </w:rPr>
          </w:pPr>
          <w:r w:rsidRPr="0037267B">
            <w:rPr>
              <w:rFonts w:ascii="Times New Roman" w:hAnsi="Times New Roman" w:cs="Times New Roman"/>
              <w:b/>
              <w:bCs/>
              <w:noProof/>
            </w:rPr>
            <w:fldChar w:fldCharType="end"/>
          </w:r>
        </w:p>
      </w:sdtContent>
    </w:sdt>
    <w:sectPr w:rsidR="0037267B" w:rsidRPr="0037267B" w:rsidSect="00A2013F">
      <w:head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F55B0" w14:textId="77777777" w:rsidR="00A96C67" w:rsidRDefault="00A96C67" w:rsidP="005F00BB">
      <w:r>
        <w:separator/>
      </w:r>
    </w:p>
  </w:endnote>
  <w:endnote w:type="continuationSeparator" w:id="0">
    <w:p w14:paraId="31592033" w14:textId="77777777" w:rsidR="00A96C67" w:rsidRDefault="00A96C67" w:rsidP="005F00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Times">
    <w:altName w:val="Times New Roman"/>
    <w:panose1 w:val="00000500000000020000"/>
    <w:charset w:val="00"/>
    <w:family w:val="auto"/>
    <w:pitch w:val="variable"/>
    <w:sig w:usb0="E00002FF" w:usb1="5000205A" w:usb2="00000000" w:usb3="00000000" w:csb0="0000019F" w:csb1="00000000"/>
  </w:font>
  <w:font w:name="Symbol">
    <w:panose1 w:val="05050102010706020507"/>
    <w:charset w:val="02"/>
    <w:family w:val="decorative"/>
    <w:pitch w:val="variable"/>
    <w:sig w:usb0="00000003" w:usb1="10000000" w:usb2="00000000" w:usb3="00000000" w:csb0="8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9EBA5" w14:textId="77777777" w:rsidR="00A96C67" w:rsidRDefault="00A96C67" w:rsidP="005F00BB">
      <w:r>
        <w:separator/>
      </w:r>
    </w:p>
  </w:footnote>
  <w:footnote w:type="continuationSeparator" w:id="0">
    <w:p w14:paraId="42D49455" w14:textId="77777777" w:rsidR="00A96C67" w:rsidRDefault="00A96C67" w:rsidP="005F00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17434394"/>
      <w:docPartObj>
        <w:docPartGallery w:val="Page Numbers (Top of Page)"/>
        <w:docPartUnique/>
      </w:docPartObj>
    </w:sdtPr>
    <w:sdtContent>
      <w:p w14:paraId="492807DC" w14:textId="77777777" w:rsidR="00951BCD" w:rsidRDefault="00000000" w:rsidP="00A2013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FC25798" w14:textId="77777777" w:rsidR="00951BCD" w:rsidRDefault="00000000" w:rsidP="00951BC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1DF50" w14:textId="5A4A867C" w:rsidR="00A2013F" w:rsidRDefault="00A2013F" w:rsidP="00DC53E9">
    <w:pPr>
      <w:pStyle w:val="Header"/>
      <w:framePr w:wrap="none" w:vAnchor="text" w:hAnchor="margin" w:xAlign="right" w:y="1"/>
      <w:rPr>
        <w:rStyle w:val="PageNumber"/>
      </w:rPr>
    </w:pPr>
  </w:p>
  <w:p w14:paraId="0298C56C" w14:textId="77777777" w:rsidR="00951BCD" w:rsidRDefault="00000000" w:rsidP="00951BCD">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3D3A3" w14:textId="77777777" w:rsidR="00951BCD" w:rsidRDefault="00000000" w:rsidP="00951BCD">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53357767"/>
      <w:docPartObj>
        <w:docPartGallery w:val="Page Numbers (Top of Page)"/>
        <w:docPartUnique/>
      </w:docPartObj>
    </w:sdtPr>
    <w:sdtContent>
      <w:p w14:paraId="2B854DEE" w14:textId="77777777" w:rsidR="00A2013F" w:rsidRDefault="00A2013F" w:rsidP="00DC53E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340B6EEA" w14:textId="77777777" w:rsidR="00A2013F" w:rsidRDefault="00A2013F" w:rsidP="00951BCD">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00BB"/>
    <w:rsid w:val="00005CDE"/>
    <w:rsid w:val="000276FE"/>
    <w:rsid w:val="000C6EC3"/>
    <w:rsid w:val="000F52D0"/>
    <w:rsid w:val="00105528"/>
    <w:rsid w:val="001A5424"/>
    <w:rsid w:val="002A6D12"/>
    <w:rsid w:val="002B67E7"/>
    <w:rsid w:val="002E1522"/>
    <w:rsid w:val="002E7867"/>
    <w:rsid w:val="00306C64"/>
    <w:rsid w:val="003407EE"/>
    <w:rsid w:val="00352CEB"/>
    <w:rsid w:val="0037267B"/>
    <w:rsid w:val="003C563F"/>
    <w:rsid w:val="00405021"/>
    <w:rsid w:val="004567EA"/>
    <w:rsid w:val="00480300"/>
    <w:rsid w:val="00495C8E"/>
    <w:rsid w:val="004B3C62"/>
    <w:rsid w:val="004D6765"/>
    <w:rsid w:val="005A0646"/>
    <w:rsid w:val="005A3B4A"/>
    <w:rsid w:val="005C02DC"/>
    <w:rsid w:val="005F00BB"/>
    <w:rsid w:val="0061707D"/>
    <w:rsid w:val="00636998"/>
    <w:rsid w:val="0064446E"/>
    <w:rsid w:val="0068115E"/>
    <w:rsid w:val="007274F4"/>
    <w:rsid w:val="00730526"/>
    <w:rsid w:val="00774DA6"/>
    <w:rsid w:val="00814188"/>
    <w:rsid w:val="00856B6B"/>
    <w:rsid w:val="008B01A3"/>
    <w:rsid w:val="008C63F5"/>
    <w:rsid w:val="008E2880"/>
    <w:rsid w:val="00962402"/>
    <w:rsid w:val="009842C7"/>
    <w:rsid w:val="009B1BF6"/>
    <w:rsid w:val="009E52F1"/>
    <w:rsid w:val="00A2013F"/>
    <w:rsid w:val="00A36D22"/>
    <w:rsid w:val="00A4671F"/>
    <w:rsid w:val="00A55CCE"/>
    <w:rsid w:val="00A926D7"/>
    <w:rsid w:val="00A94F8A"/>
    <w:rsid w:val="00A96C67"/>
    <w:rsid w:val="00AC6BD0"/>
    <w:rsid w:val="00B32050"/>
    <w:rsid w:val="00B47257"/>
    <w:rsid w:val="00B819E1"/>
    <w:rsid w:val="00BA5EED"/>
    <w:rsid w:val="00BF5915"/>
    <w:rsid w:val="00C0191D"/>
    <w:rsid w:val="00C061EB"/>
    <w:rsid w:val="00CA348F"/>
    <w:rsid w:val="00CB13B9"/>
    <w:rsid w:val="00CD40E2"/>
    <w:rsid w:val="00CF31FA"/>
    <w:rsid w:val="00D267C1"/>
    <w:rsid w:val="00E250D8"/>
    <w:rsid w:val="00EA22B6"/>
    <w:rsid w:val="00EC3B9D"/>
    <w:rsid w:val="00F47746"/>
    <w:rsid w:val="00FA4D33"/>
    <w:rsid w:val="00FD67DE"/>
    <w:rsid w:val="00FF36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85603"/>
  <w15:chartTrackingRefBased/>
  <w15:docId w15:val="{FAD79D29-0C4A-6047-9998-7CECEF0F5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00BB"/>
  </w:style>
  <w:style w:type="paragraph" w:styleId="Heading1">
    <w:name w:val="heading 1"/>
    <w:basedOn w:val="Normal"/>
    <w:next w:val="Normal"/>
    <w:link w:val="Heading1Char"/>
    <w:uiPriority w:val="9"/>
    <w:qFormat/>
    <w:rsid w:val="00005CDE"/>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00BB"/>
    <w:pPr>
      <w:tabs>
        <w:tab w:val="center" w:pos="4680"/>
        <w:tab w:val="right" w:pos="9360"/>
      </w:tabs>
    </w:pPr>
  </w:style>
  <w:style w:type="character" w:customStyle="1" w:styleId="HeaderChar">
    <w:name w:val="Header Char"/>
    <w:basedOn w:val="DefaultParagraphFont"/>
    <w:link w:val="Header"/>
    <w:uiPriority w:val="99"/>
    <w:rsid w:val="005F00BB"/>
  </w:style>
  <w:style w:type="character" w:styleId="PageNumber">
    <w:name w:val="page number"/>
    <w:basedOn w:val="DefaultParagraphFont"/>
    <w:uiPriority w:val="99"/>
    <w:semiHidden/>
    <w:unhideWhenUsed/>
    <w:rsid w:val="005F00BB"/>
  </w:style>
  <w:style w:type="character" w:styleId="CommentReference">
    <w:name w:val="annotation reference"/>
    <w:basedOn w:val="DefaultParagraphFont"/>
    <w:uiPriority w:val="99"/>
    <w:semiHidden/>
    <w:unhideWhenUsed/>
    <w:rsid w:val="005F00BB"/>
    <w:rPr>
      <w:sz w:val="16"/>
      <w:szCs w:val="16"/>
    </w:rPr>
  </w:style>
  <w:style w:type="paragraph" w:styleId="Bibliography">
    <w:name w:val="Bibliography"/>
    <w:basedOn w:val="Normal"/>
    <w:next w:val="Normal"/>
    <w:uiPriority w:val="37"/>
    <w:unhideWhenUsed/>
    <w:rsid w:val="005F00BB"/>
  </w:style>
  <w:style w:type="paragraph" w:styleId="Footer">
    <w:name w:val="footer"/>
    <w:basedOn w:val="Normal"/>
    <w:link w:val="FooterChar"/>
    <w:uiPriority w:val="99"/>
    <w:unhideWhenUsed/>
    <w:rsid w:val="005F00BB"/>
    <w:pPr>
      <w:tabs>
        <w:tab w:val="center" w:pos="4680"/>
        <w:tab w:val="right" w:pos="9360"/>
      </w:tabs>
    </w:pPr>
  </w:style>
  <w:style w:type="character" w:customStyle="1" w:styleId="FooterChar">
    <w:name w:val="Footer Char"/>
    <w:basedOn w:val="DefaultParagraphFont"/>
    <w:link w:val="Footer"/>
    <w:uiPriority w:val="99"/>
    <w:rsid w:val="005F00BB"/>
  </w:style>
  <w:style w:type="paragraph" w:styleId="CommentText">
    <w:name w:val="annotation text"/>
    <w:basedOn w:val="Normal"/>
    <w:link w:val="CommentTextChar"/>
    <w:uiPriority w:val="99"/>
    <w:semiHidden/>
    <w:unhideWhenUsed/>
    <w:rsid w:val="00D267C1"/>
    <w:rPr>
      <w:sz w:val="20"/>
      <w:szCs w:val="20"/>
    </w:rPr>
  </w:style>
  <w:style w:type="character" w:customStyle="1" w:styleId="CommentTextChar">
    <w:name w:val="Comment Text Char"/>
    <w:basedOn w:val="DefaultParagraphFont"/>
    <w:link w:val="CommentText"/>
    <w:uiPriority w:val="99"/>
    <w:semiHidden/>
    <w:rsid w:val="00D267C1"/>
    <w:rPr>
      <w:sz w:val="20"/>
      <w:szCs w:val="20"/>
    </w:rPr>
  </w:style>
  <w:style w:type="paragraph" w:styleId="CommentSubject">
    <w:name w:val="annotation subject"/>
    <w:basedOn w:val="CommentText"/>
    <w:next w:val="CommentText"/>
    <w:link w:val="CommentSubjectChar"/>
    <w:uiPriority w:val="99"/>
    <w:semiHidden/>
    <w:unhideWhenUsed/>
    <w:rsid w:val="00D267C1"/>
    <w:rPr>
      <w:b/>
      <w:bCs/>
    </w:rPr>
  </w:style>
  <w:style w:type="character" w:customStyle="1" w:styleId="CommentSubjectChar">
    <w:name w:val="Comment Subject Char"/>
    <w:basedOn w:val="CommentTextChar"/>
    <w:link w:val="CommentSubject"/>
    <w:uiPriority w:val="99"/>
    <w:semiHidden/>
    <w:rsid w:val="00D267C1"/>
    <w:rPr>
      <w:b/>
      <w:bCs/>
      <w:sz w:val="20"/>
      <w:szCs w:val="20"/>
    </w:rPr>
  </w:style>
  <w:style w:type="paragraph" w:styleId="Caption">
    <w:name w:val="caption"/>
    <w:basedOn w:val="Normal"/>
    <w:next w:val="Normal"/>
    <w:uiPriority w:val="35"/>
    <w:unhideWhenUsed/>
    <w:qFormat/>
    <w:rsid w:val="00480300"/>
    <w:pPr>
      <w:spacing w:after="200"/>
    </w:pPr>
    <w:rPr>
      <w:i/>
      <w:iCs/>
      <w:color w:val="44546A" w:themeColor="text2"/>
      <w:sz w:val="18"/>
      <w:szCs w:val="18"/>
    </w:rPr>
  </w:style>
  <w:style w:type="character" w:customStyle="1" w:styleId="Heading1Char">
    <w:name w:val="Heading 1 Char"/>
    <w:basedOn w:val="DefaultParagraphFont"/>
    <w:link w:val="Heading1"/>
    <w:uiPriority w:val="9"/>
    <w:rsid w:val="00005CDE"/>
    <w:rPr>
      <w:rFonts w:asciiTheme="majorHAnsi" w:eastAsiaTheme="majorEastAsia" w:hAnsiTheme="majorHAnsi" w:cstheme="majorBidi"/>
      <w:b/>
      <w:bCs/>
      <w:color w:val="2F5496" w:themeColor="accent1" w:themeShade="BF"/>
      <w:sz w:val="28"/>
      <w:szCs w:val="28"/>
      <w:lang w:bidi="en-US"/>
    </w:rPr>
  </w:style>
  <w:style w:type="character" w:customStyle="1" w:styleId="markedcontent">
    <w:name w:val="markedcontent"/>
    <w:basedOn w:val="DefaultParagraphFont"/>
    <w:rsid w:val="008C63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986278">
      <w:bodyDiv w:val="1"/>
      <w:marLeft w:val="0"/>
      <w:marRight w:val="0"/>
      <w:marTop w:val="0"/>
      <w:marBottom w:val="0"/>
      <w:divBdr>
        <w:top w:val="none" w:sz="0" w:space="0" w:color="auto"/>
        <w:left w:val="none" w:sz="0" w:space="0" w:color="auto"/>
        <w:bottom w:val="none" w:sz="0" w:space="0" w:color="auto"/>
        <w:right w:val="none" w:sz="0" w:space="0" w:color="auto"/>
      </w:divBdr>
    </w:div>
    <w:div w:id="287511429">
      <w:bodyDiv w:val="1"/>
      <w:marLeft w:val="0"/>
      <w:marRight w:val="0"/>
      <w:marTop w:val="0"/>
      <w:marBottom w:val="0"/>
      <w:divBdr>
        <w:top w:val="none" w:sz="0" w:space="0" w:color="auto"/>
        <w:left w:val="none" w:sz="0" w:space="0" w:color="auto"/>
        <w:bottom w:val="none" w:sz="0" w:space="0" w:color="auto"/>
        <w:right w:val="none" w:sz="0" w:space="0" w:color="auto"/>
      </w:divBdr>
    </w:div>
    <w:div w:id="385111034">
      <w:bodyDiv w:val="1"/>
      <w:marLeft w:val="0"/>
      <w:marRight w:val="0"/>
      <w:marTop w:val="0"/>
      <w:marBottom w:val="0"/>
      <w:divBdr>
        <w:top w:val="none" w:sz="0" w:space="0" w:color="auto"/>
        <w:left w:val="none" w:sz="0" w:space="0" w:color="auto"/>
        <w:bottom w:val="none" w:sz="0" w:space="0" w:color="auto"/>
        <w:right w:val="none" w:sz="0" w:space="0" w:color="auto"/>
      </w:divBdr>
    </w:div>
    <w:div w:id="693191898">
      <w:bodyDiv w:val="1"/>
      <w:marLeft w:val="0"/>
      <w:marRight w:val="0"/>
      <w:marTop w:val="0"/>
      <w:marBottom w:val="0"/>
      <w:divBdr>
        <w:top w:val="none" w:sz="0" w:space="0" w:color="auto"/>
        <w:left w:val="none" w:sz="0" w:space="0" w:color="auto"/>
        <w:bottom w:val="none" w:sz="0" w:space="0" w:color="auto"/>
        <w:right w:val="none" w:sz="0" w:space="0" w:color="auto"/>
      </w:divBdr>
    </w:div>
    <w:div w:id="853570009">
      <w:bodyDiv w:val="1"/>
      <w:marLeft w:val="0"/>
      <w:marRight w:val="0"/>
      <w:marTop w:val="0"/>
      <w:marBottom w:val="0"/>
      <w:divBdr>
        <w:top w:val="none" w:sz="0" w:space="0" w:color="auto"/>
        <w:left w:val="none" w:sz="0" w:space="0" w:color="auto"/>
        <w:bottom w:val="none" w:sz="0" w:space="0" w:color="auto"/>
        <w:right w:val="none" w:sz="0" w:space="0" w:color="auto"/>
      </w:divBdr>
    </w:div>
    <w:div w:id="1364283996">
      <w:bodyDiv w:val="1"/>
      <w:marLeft w:val="0"/>
      <w:marRight w:val="0"/>
      <w:marTop w:val="0"/>
      <w:marBottom w:val="0"/>
      <w:divBdr>
        <w:top w:val="none" w:sz="0" w:space="0" w:color="auto"/>
        <w:left w:val="none" w:sz="0" w:space="0" w:color="auto"/>
        <w:bottom w:val="none" w:sz="0" w:space="0" w:color="auto"/>
        <w:right w:val="none" w:sz="0" w:space="0" w:color="auto"/>
      </w:divBdr>
    </w:div>
    <w:div w:id="1565065818">
      <w:bodyDiv w:val="1"/>
      <w:marLeft w:val="0"/>
      <w:marRight w:val="0"/>
      <w:marTop w:val="0"/>
      <w:marBottom w:val="0"/>
      <w:divBdr>
        <w:top w:val="none" w:sz="0" w:space="0" w:color="auto"/>
        <w:left w:val="none" w:sz="0" w:space="0" w:color="auto"/>
        <w:bottom w:val="none" w:sz="0" w:space="0" w:color="auto"/>
        <w:right w:val="none" w:sz="0" w:space="0" w:color="auto"/>
      </w:divBdr>
    </w:div>
    <w:div w:id="2023123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Her16</b:Tag>
    <b:SourceType>JournalArticle</b:SourceType>
    <b:Guid>{64676A86-43AF-6C4F-B5B1-95233953002C}</b:Guid>
    <b:Author>
      <b:Author>
        <b:NameList>
          <b:Person>
            <b:Last>Herbson</b:Last>
            <b:First>Allan</b:First>
            <b:Middle>E.</b:Middle>
          </b:Person>
        </b:NameList>
      </b:Author>
    </b:Author>
    <b:Title>Control of Puberty Onset and Fertility by Gonadotropin-releasing Hormone Neurons</b:Title>
    <b:Year>2016</b:Year>
    <b:Month>August</b:Month>
    <b:JournalName>Natures Review Endocrinology</b:JournalName>
    <b:Pages>452-466</b:Pages>
    <b:Publisher>MacMillan Publishers Limited</b:Publisher>
    <b:Volume>12</b:Volume>
    <b:RefOrder>1</b:RefOrder>
  </b:Source>
  <b:Source>
    <b:Tag>Spa21</b:Tag>
    <b:SourceType>JournalArticle</b:SourceType>
    <b:Guid>{B4011FAA-7668-B74B-8AE3-4B16CD64EB26}</b:Guid>
    <b:Author>
      <b:Author>
        <b:NameList>
          <b:Person>
            <b:Last>Spaziani</b:Last>
            <b:First>Matteo</b:First>
          </b:Person>
          <b:Person>
            <b:Last>Tarantino</b:Last>
            <b:First>Chiara</b:First>
          </b:Person>
          <b:Person>
            <b:Last>Tahani</b:Last>
            <b:First>Natascia</b:First>
          </b:Person>
          <b:Person>
            <b:Last>Gianfrilli</b:Last>
            <b:First>Daniele</b:First>
          </b:Person>
          <b:Person>
            <b:Last>Sbardella</b:Last>
            <b:First>Emilia</b:First>
          </b:Person>
          <b:Person>
            <b:Last>Lenzi</b:Last>
            <b:First>Andrea</b:First>
          </b:Person>
          <b:Person>
            <b:Last>Radicioni</b:Last>
            <b:First>Antonio</b:First>
            <b:Middle>F.</b:Middle>
          </b:Person>
        </b:NameList>
      </b:Author>
    </b:Author>
    <b:Title>Hypothalamo-Pituitary Axis and Puberty</b:Title>
    <b:JournalName>Molecular and Cellular Endocrinology</b:JournalName>
    <b:Year>2021</b:Year>
    <b:Pages>111094</b:Pages>
    <b:Month>January </b:Month>
    <b:Volume>520</b:Volume>
    <b:RefOrder>2</b:RefOrder>
  </b:Source>
  <b:Source>
    <b:Tag>Woo19</b:Tag>
    <b:SourceType>JournalArticle</b:SourceType>
    <b:Guid>{5889EB2C-BC9F-0C47-B8E0-E0A9A2F56092}</b:Guid>
    <b:Author>
      <b:Author>
        <b:NameList>
          <b:Person>
            <b:Last>Wood</b:Last>
            <b:First>Claire</b:First>
            <b:Middle>L.</b:Middle>
          </b:Person>
          <b:Person>
            <b:Last>Lane</b:Last>
            <b:First>Laura</b:First>
            <b:Middle>C.</b:Middle>
          </b:Person>
          <b:Person>
            <b:Last>Cheetham</b:Last>
            <b:First>Tim</b:First>
          </b:Person>
        </b:NameList>
      </b:Author>
    </b:Author>
    <b:Title>Puberty: Normal Physiology (brief overview)</b:Title>
    <b:JournalName>Best Practive and Research Clinical Endocrinology &amp; Metabolism</b:JournalName>
    <b:Year>2019</b:Year>
    <b:Pages>101265</b:Pages>
    <b:Month>March</b:Month>
    <b:Day>30</b:Day>
    <b:Volume>33</b:Volume>
    <b:RefOrder>3</b:RefOrder>
  </b:Source>
  <b:Source>
    <b:Tag>Ter19</b:Tag>
    <b:SourceType>JournalArticle</b:SourceType>
    <b:Guid>{0B003DB2-B916-B947-A8DC-05D91F286255}</b:Guid>
    <b:Author>
      <b:Author>
        <b:NameList>
          <b:Person>
            <b:Last>Terasawa</b:Last>
            <b:First>Ei</b:First>
          </b:Person>
        </b:NameList>
      </b:Author>
    </b:Author>
    <b:Title>Mechanism of Pulsatile GnRH Release in Primates: Unresolved Questions</b:Title>
    <b:JournalName>Molecular and Cellular Endocrinology</b:JournalName>
    <b:Year>2019</b:Year>
    <b:Pages>110578</b:Pages>
    <b:Volume>498</b:Volume>
    <b:RefOrder>4</b:RefOrder>
  </b:Source>
  <b:Source>
    <b:Tag>Ort02</b:Tag>
    <b:SourceType>JournalArticle</b:SourceType>
    <b:Guid>{B7967812-9A29-9F49-8482-4116067D11CD}</b:Guid>
    <b:Author>
      <b:Author>
        <b:NameList>
          <b:Person>
            <b:Last>Ortmann</b:Last>
            <b:First>O.</b:First>
          </b:Person>
          <b:Person>
            <b:Last>Weiss</b:Last>
            <b:First>JM.</b:First>
          </b:Person>
          <b:Person>
            <b:Last>Diedrich</b:Last>
            <b:First>K.</b:First>
          </b:Person>
        </b:NameList>
      </b:Author>
    </b:Author>
    <b:Title>Gonadotrophin-releasing Hormone (GnRH) and GnRH agonist: Mechanisms of Action</b:Title>
    <b:JournalName>Reproductive BioMedicine Online</b:JournalName>
    <b:Year>2002</b:Year>
    <b:Pages>1-7</b:Pages>
    <b:Month>August</b:Month>
    <b:Day>21</b:Day>
    <b:RefOrder>5</b:RefOrder>
  </b:Source>
  <b:Source>
    <b:Tag>Ort99</b:Tag>
    <b:SourceType>JournalArticle</b:SourceType>
    <b:Guid>{8C4CC8B1-0EF4-3E46-A90E-F7B7E5CE88D4}</b:Guid>
    <b:Author>
      <b:Author>
        <b:NameList>
          <b:Person>
            <b:Last>Ortmann</b:Last>
            <b:First>O.</b:First>
          </b:Person>
          <b:Person>
            <b:Last>Diedrich</b:Last>
            <b:First>K.</b:First>
          </b:Person>
        </b:NameList>
      </b:Author>
    </b:Author>
    <b:Title>Pituitary and Extrapituitary Actions of Gonadotrophin-releasing Hormone and its analogues</b:Title>
    <b:JournalName>Human Reproduction</b:JournalName>
    <b:Year>1999</b:Year>
    <b:Pages>194-206</b:Pages>
    <b:Volume>14</b:Volume>
    <b:RefOrder>7</b:RefOrder>
  </b:Source>
  <b:Source>
    <b:Tag>van08</b:Tag>
    <b:SourceType>JournalArticle</b:SourceType>
    <b:Guid>{83724AE5-D8E8-4048-809A-FEC2D3EE4703}</b:Guid>
    <b:Author>
      <b:Author>
        <b:NameList>
          <b:Person>
            <b:Last>van Poppel</b:Last>
            <b:First>Hendrik</b:First>
          </b:Person>
          <b:Person>
            <b:Last>Nilsson</b:Last>
            <b:First>Sten</b:First>
          </b:Person>
        </b:NameList>
      </b:Author>
    </b:Author>
    <b:Title>Testosterone Surge: Rationale for Gonadotropin-Releasing Hormone Blockers?</b:Title>
    <b:JournalName>UROLOGY</b:JournalName>
    <b:Year>2008</b:Year>
    <b:Pages>1001-1006</b:Pages>
    <b:Volume>71</b:Volume>
    <b:Issue>6</b:Issue>
    <b:RefOrder>8</b:RefOrder>
  </b:Source>
  <b:Source>
    <b:Tag>Kha19</b:Tag>
    <b:SourceType>JournalArticle</b:SourceType>
    <b:Guid>{C969D784-DC41-AA4E-9871-22576E270610}</b:Guid>
    <b:Author>
      <b:Author>
        <b:NameList>
          <b:Person>
            <b:Last>Khan</b:Last>
            <b:First>Leah</b:First>
          </b:Person>
        </b:NameList>
      </b:Author>
    </b:Author>
    <b:Title>Puberty: Onset and Progression</b:Title>
    <b:JournalName>Pediatric Annals</b:JournalName>
    <b:Year>2019</b:Year>
    <b:Pages>e141-e145</b:Pages>
    <b:Volume>48</b:Volume>
    <b:Issue>4</b:Issue>
    <b:RefOrder>9</b:RefOrder>
  </b:Source>
  <b:Source>
    <b:Tag>Atk15</b:Tag>
    <b:SourceType>JournalArticle</b:SourceType>
    <b:Guid>{5A267C9B-459A-C34E-A1BA-1947093D5B67}</b:Guid>
    <b:Author>
      <b:Author>
        <b:NameList>
          <b:Person>
            <b:Last>Atkinson</b:Last>
            <b:First>Sean</b:First>
            <b:Middle>R.</b:Middle>
          </b:Person>
          <b:Person>
            <b:Last>Russell</b:Last>
            <b:First>Darren</b:First>
          </b:Person>
        </b:NameList>
      </b:Author>
    </b:Author>
    <b:Title>Gender Dysphoria</b:Title>
    <b:JournalName>Austrialian Family Physician</b:JournalName>
    <b:Year>2015</b:Year>
    <b:Pages>792-796</b:Pages>
    <b:Volume>44</b:Volume>
    <b:Issue>11</b:Issue>
    <b:RefOrder>10</b:RefOrder>
  </b:Source>
  <b:Source>
    <b:Tag>Rew21</b:Tag>
    <b:SourceType>JournalArticle</b:SourceType>
    <b:Guid>{AACC0DDE-B6E0-124A-8FE7-473927D7DAFA}</b:Guid>
    <b:Author>
      <b:Author>
        <b:NameList>
          <b:Person>
            <b:Last>Rew</b:Last>
            <b:First>Lynn</b:First>
          </b:Person>
          <b:Person>
            <b:Last>Young</b:Last>
            <b:First>Cara</b:First>
            <b:Middle>C.</b:Middle>
          </b:Person>
          <b:Person>
            <b:Last>Monge</b:Last>
            <b:First>Maria</b:First>
          </b:Person>
          <b:Person>
            <b:Last>Bogucka</b:Last>
            <b:First>Roxanne</b:First>
          </b:Person>
        </b:NameList>
      </b:Author>
    </b:Author>
    <b:Title>Review: Puberty Blockers for Transgender and Gender Diverse Youth - A Critical Review of the Literature</b:Title>
    <b:JournalName>Child and Adolescent Mental Health</b:JournalName>
    <b:Year>2021</b:Year>
    <b:Pages>3-14</b:Pages>
    <b:Volume>26</b:Volume>
    <b:Issue>1</b:Issue>
    <b:RefOrder>11</b:RefOrder>
  </b:Source>
  <b:Source>
    <b:Tag>Rob03</b:Tag>
    <b:SourceType>JournalArticle</b:SourceType>
    <b:Guid>{BE95F1B5-51E0-3245-B1B3-E20F7EBE9348}</b:Guid>
    <b:Author>
      <b:Author>
        <b:NameList>
          <b:Person>
            <b:Last>Robertson</b:Last>
            <b:First>J.</b:First>
            <b:Middle>F. R.</b:Middle>
          </b:Person>
          <b:Person>
            <b:Last>Blamey</b:Last>
            <b:First>R.</b:First>
            <b:Middle>W.</b:Middle>
          </b:Person>
        </b:NameList>
      </b:Author>
    </b:Author>
    <b:Title>The use of gonadotrophin-releasing hormone (GnRH) agonists in early and advanced breast cancers in pre- and perimenopausal women</b:Title>
    <b:Year>2003</b:Year>
    <b:JournalName>European Journal of Cancer</b:JournalName>
    <b:Pages>861-869</b:Pages>
    <b:Volume>39</b:Volume>
    <b:RefOrder>13</b:RefOrder>
  </b:Source>
  <b:Source>
    <b:Tag>deZ10</b:Tag>
    <b:SourceType>JournalArticle</b:SourceType>
    <b:Guid>{E6C8983A-5DA9-C649-85B1-FAF2092D96A0}</b:Guid>
    <b:Author>
      <b:Author>
        <b:NameList>
          <b:Person>
            <b:Last>de Ziegler</b:Last>
            <b:First>Dominique</b:First>
          </b:Person>
          <b:Person>
            <b:Last>Borghese</b:Last>
            <b:First>Bruno</b:First>
          </b:Person>
          <b:Person>
            <b:Last>Chapron</b:Last>
            <b:First>Charles</b:First>
          </b:Person>
        </b:NameList>
      </b:Author>
    </b:Author>
    <b:Title>Endometriosis and Infertility: Pathophysiology and Management</b:Title>
    <b:JournalName>The Lancet</b:JournalName>
    <b:Year>2010</b:Year>
    <b:Pages>730-738</b:Pages>
    <b:Volume>376</b:Volume>
    <b:RefOrder>14</b:RefOrder>
  </b:Source>
  <b:Source>
    <b:Tag>Kah18</b:Tag>
    <b:SourceType>JournalArticle</b:SourceType>
    <b:Guid>{BBA4FE81-DB4A-9843-8781-E3F890433A69}</b:Guid>
    <b:Author>
      <b:Author>
        <b:NameList>
          <b:Person>
            <b:Last>Kahnamouyi</b:Last>
            <b:First>Samira</b:First>
          </b:Person>
          <b:Person>
            <b:Last>Nouri</b:Last>
            <b:First>Mohammad</b:First>
          </b:Person>
          <b:Person>
            <b:Last>Farzadi</b:Last>
            <b:First>Laya</b:First>
          </b:Person>
          <b:Person>
            <b:Last>Darabi</b:Last>
            <b:First>Masoud</b:First>
          </b:Person>
        </b:NameList>
      </b:Author>
    </b:Author>
    <b:Title>The role of mitogen-activated protein kinase-extracellular receptor kinase pathway in female fertility outcomes: a focus on pituitary gonadotrophins regulation</b:Title>
    <b:JournalName>Therapeutic Advances in Endocrinology and Metabolism</b:JournalName>
    <b:Year>2018</b:Year>
    <b:Month>May</b:Month>
    <b:Day>7</b:Day>
    <b:Volume>9</b:Volume>
    <b:RefOrder>6</b:RefOrder>
  </b:Source>
  <b:Source>
    <b:Tag>Tem21</b:Tag>
    <b:SourceType>InternetSite</b:SourceType>
    <b:Guid>{E8541C66-39B2-AA47-816B-53C9E59F4E48}</b:Guid>
    <b:Author>
      <b:Author>
        <b:NameList>
          <b:Person>
            <b:Last>Temming</b:Last>
            <b:First>Maria</b:First>
          </b:Person>
        </b:NameList>
      </b:Author>
    </b:Author>
    <b:Title>Gender-affirming care improves mental health for transgender youth</b:Title>
    <b:JournalName>Science News</b:JournalName>
    <b:Year>2021</b:Year>
    <b:InternetSiteTitle>Science News</b:InternetSiteTitle>
    <b:URL>https://www.sciencenews.org/article/transgender-youth-mental-health-gender-affirming-care-laws</b:URL>
    <b:Month>August</b:Month>
    <b:Day>26</b:Day>
    <b:RefOrder>12</b:RefOrder>
  </b:Source>
  <b:Source>
    <b:Tag>van20</b:Tag>
    <b:SourceType>JournalArticle</b:SourceType>
    <b:Guid>{38FD7FB7-ED95-0F49-BA8A-1F843AD475E0}</b:Guid>
    <b:Author>
      <b:Author>
        <b:NameList>
          <b:Person>
            <b:Last>van der Meisen</b:Last>
            <b:First>Anna</b:First>
            <b:Middle>I. R.</b:Middle>
          </b:Person>
          <b:Person>
            <b:Last>Steensma</b:Last>
            <b:First>Thomas</b:First>
            <b:Middle>D.</b:Middle>
          </b:Person>
          <b:Person>
            <b:Last>de Vries</b:Last>
            <b:First>Annelou</b:First>
            <b:Middle>L. C.</b:Middle>
          </b:Person>
          <b:Person>
            <b:Last>Bos</b:Last>
            <b:First>Henny</b:First>
          </b:Person>
          <b:Person>
            <b:Last>Popma</b:Last>
            <b:First>Arne</b:First>
          </b:Person>
        </b:NameList>
      </b:Author>
    </b:Author>
    <b:Title>Physchological Functioning in Transgender Adolescents Before and After Gender-Affirming Care Compared with Cisgender General Population Peers</b:Title>
    <b:Year>2020</b:Year>
    <b:JournalName>Journal of Adolescent Health</b:JournalName>
    <b:Pages>699-704</b:Pages>
    <b:Volume>66</b:Volume>
    <b:RefOrder>16</b:RefOrder>
  </b:Source>
  <b:Source>
    <b:Tag>Rob211</b:Tag>
    <b:SourceType>JournalArticle</b:SourceType>
    <b:Guid>{8220ECD2-3F7A-4F47-B9D9-50FD616C1209}</b:Guid>
    <b:Author>
      <b:Author>
        <b:NameList>
          <b:Person>
            <b:Last>Roberts</b:Last>
            <b:First>Stephanie</b:First>
            <b:Middle>A.</b:Middle>
          </b:Person>
          <b:Person>
            <b:Last>Carswell</b:Last>
            <b:First>Jeremi</b:First>
            <b:Middle>M.</b:Middle>
          </b:Person>
        </b:NameList>
      </b:Author>
    </b:Author>
    <b:Title>Growth, Growth potential, and influences on adult height in the transgender and gender-diverse population</b:Title>
    <b:JournalName>Andrology</b:JournalName>
    <b:Year>2021</b:Year>
    <b:Pages>1679-1688</b:Pages>
    <b:Month>May</b:Month>
    <b:Day>3</b:Day>
    <b:RefOrder>15</b:RefOrder>
  </b:Source>
</b:Sources>
</file>

<file path=customXml/itemProps1.xml><?xml version="1.0" encoding="utf-8"?>
<ds:datastoreItem xmlns:ds="http://schemas.openxmlformats.org/officeDocument/2006/customXml" ds:itemID="{637DD446-119B-1941-813D-41A55CEDE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4350</Words>
  <Characters>24796</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Mitchell J</dc:creator>
  <cp:keywords/>
  <dc:description/>
  <cp:lastModifiedBy>Martin, Mitchell J</cp:lastModifiedBy>
  <cp:revision>3</cp:revision>
  <cp:lastPrinted>2023-03-28T19:10:00Z</cp:lastPrinted>
  <dcterms:created xsi:type="dcterms:W3CDTF">2023-04-26T14:21:00Z</dcterms:created>
  <dcterms:modified xsi:type="dcterms:W3CDTF">2023-04-26T14:51:00Z</dcterms:modified>
</cp:coreProperties>
</file>